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color w:val="auto"/>
          <w:sz w:val="32"/>
          <w:highlight w:val="none"/>
        </w:rPr>
      </w:pPr>
    </w:p>
    <w:p>
      <w:pPr>
        <w:spacing w:line="600" w:lineRule="exact"/>
        <w:rPr>
          <w:rFonts w:ascii="方正仿宋_GBK" w:eastAsia="方正仿宋_GBK"/>
          <w:color w:val="auto"/>
          <w:sz w:val="32"/>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竞争性比选文件</w:t>
      </w: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480" w:lineRule="exact"/>
        <w:ind w:firstLine="563" w:firstLineChars="176"/>
        <w:outlineLvl w:val="0"/>
        <w:rPr>
          <w:rFonts w:ascii="宋体" w:hAnsi="宋体"/>
          <w:color w:val="auto"/>
          <w:sz w:val="32"/>
          <w:szCs w:val="32"/>
          <w:highlight w:val="none"/>
        </w:rPr>
      </w:pPr>
    </w:p>
    <w:p>
      <w:pPr>
        <w:spacing w:line="480" w:lineRule="exact"/>
        <w:outlineLvl w:val="9"/>
        <w:rPr>
          <w:rFonts w:hint="eastAsia" w:ascii="宋体" w:hAnsi="宋体" w:eastAsia="宋体"/>
          <w:color w:val="auto"/>
          <w:sz w:val="32"/>
          <w:szCs w:val="32"/>
          <w:highlight w:val="none"/>
          <w:lang w:val="en-US" w:eastAsia="zh-CN"/>
        </w:rPr>
      </w:pPr>
      <w:bookmarkStart w:id="0" w:name="_Toc32564"/>
      <w:r>
        <w:rPr>
          <w:rFonts w:hint="eastAsia" w:ascii="宋体" w:hAnsi="宋体"/>
          <w:color w:val="auto"/>
          <w:sz w:val="32"/>
          <w:szCs w:val="32"/>
          <w:highlight w:val="none"/>
        </w:rPr>
        <w:t xml:space="preserve">项 目 编 号: </w:t>
      </w:r>
      <w:bookmarkEnd w:id="0"/>
      <w:r>
        <w:rPr>
          <w:rFonts w:hint="eastAsia" w:ascii="宋体" w:hAnsi="宋体"/>
          <w:color w:val="auto"/>
          <w:sz w:val="32"/>
          <w:szCs w:val="32"/>
          <w:highlight w:val="none"/>
        </w:rPr>
        <w:t>HJ-2023-C07</w:t>
      </w:r>
      <w:r>
        <w:rPr>
          <w:rFonts w:hint="eastAsia" w:ascii="宋体" w:hAnsi="宋体"/>
          <w:color w:val="auto"/>
          <w:sz w:val="32"/>
          <w:szCs w:val="32"/>
          <w:highlight w:val="none"/>
          <w:lang w:val="en-US" w:eastAsia="zh-CN"/>
        </w:rPr>
        <w:t>9</w:t>
      </w:r>
    </w:p>
    <w:p>
      <w:pPr>
        <w:spacing w:line="480" w:lineRule="exact"/>
        <w:outlineLvl w:val="9"/>
        <w:rPr>
          <w:rFonts w:hint="eastAsia" w:ascii="宋体" w:hAnsi="宋体" w:eastAsia="宋体"/>
          <w:color w:val="auto"/>
          <w:sz w:val="32"/>
          <w:szCs w:val="32"/>
          <w:highlight w:val="none"/>
          <w:lang w:eastAsia="zh-CN"/>
        </w:rPr>
      </w:pPr>
      <w:bookmarkStart w:id="1" w:name="_Toc19331"/>
      <w:r>
        <w:rPr>
          <w:rFonts w:hint="eastAsia" w:ascii="宋体" w:hAnsi="宋体"/>
          <w:color w:val="auto"/>
          <w:sz w:val="32"/>
          <w:szCs w:val="32"/>
          <w:highlight w:val="none"/>
        </w:rPr>
        <w:t>项 目 名 称：</w:t>
      </w:r>
      <w:bookmarkEnd w:id="1"/>
      <w:r>
        <w:rPr>
          <w:rFonts w:hint="eastAsia" w:ascii="宋体" w:hAnsi="宋体"/>
          <w:color w:val="auto"/>
          <w:sz w:val="32"/>
          <w:szCs w:val="32"/>
          <w:highlight w:val="none"/>
          <w:lang w:eastAsia="zh-CN"/>
        </w:rPr>
        <w:t>重庆制造业人才服务中心线上综合服务平台开发服务</w:t>
      </w:r>
    </w:p>
    <w:p>
      <w:pPr>
        <w:spacing w:line="480" w:lineRule="exact"/>
        <w:ind w:firstLine="1062" w:firstLineChars="531"/>
        <w:outlineLvl w:val="9"/>
        <w:rPr>
          <w:rFonts w:ascii="宋体" w:hAnsi="宋体"/>
          <w:color w:val="auto"/>
          <w:szCs w:val="28"/>
          <w:highlight w:val="none"/>
        </w:rPr>
      </w:pPr>
    </w:p>
    <w:p>
      <w:pPr>
        <w:spacing w:line="480" w:lineRule="exact"/>
        <w:ind w:firstLine="1062" w:firstLineChars="531"/>
        <w:outlineLvl w:val="9"/>
        <w:rPr>
          <w:rFonts w:ascii="宋体" w:hAnsi="宋体"/>
          <w:color w:val="auto"/>
          <w:szCs w:val="28"/>
          <w:highlight w:val="none"/>
        </w:rPr>
      </w:pPr>
    </w:p>
    <w:p>
      <w:pPr>
        <w:spacing w:line="480" w:lineRule="exact"/>
        <w:ind w:firstLine="1062" w:firstLineChars="531"/>
        <w:outlineLvl w:val="9"/>
        <w:rPr>
          <w:rFonts w:ascii="宋体" w:hAnsi="宋体"/>
          <w:color w:val="auto"/>
          <w:szCs w:val="28"/>
          <w:highlight w:val="none"/>
        </w:rPr>
      </w:pPr>
    </w:p>
    <w:p>
      <w:pPr>
        <w:spacing w:line="480" w:lineRule="exact"/>
        <w:ind w:firstLine="1062" w:firstLineChars="531"/>
        <w:outlineLvl w:val="9"/>
        <w:rPr>
          <w:rFonts w:ascii="宋体" w:hAnsi="宋体"/>
          <w:color w:val="auto"/>
          <w:szCs w:val="28"/>
          <w:highlight w:val="none"/>
        </w:rPr>
      </w:pPr>
    </w:p>
    <w:p>
      <w:pPr>
        <w:spacing w:line="480" w:lineRule="exact"/>
        <w:ind w:firstLine="1062" w:firstLineChars="531"/>
        <w:outlineLvl w:val="9"/>
        <w:rPr>
          <w:rFonts w:ascii="宋体" w:hAnsi="宋体"/>
          <w:color w:val="auto"/>
          <w:szCs w:val="28"/>
          <w:highlight w:val="none"/>
        </w:rPr>
      </w:pPr>
    </w:p>
    <w:p>
      <w:pPr>
        <w:spacing w:line="480" w:lineRule="exact"/>
        <w:ind w:firstLine="1592" w:firstLineChars="531"/>
        <w:outlineLvl w:val="9"/>
        <w:rPr>
          <w:rFonts w:ascii="宋体" w:hAnsi="宋体"/>
          <w:color w:val="auto"/>
          <w:sz w:val="30"/>
          <w:szCs w:val="30"/>
          <w:highlight w:val="none"/>
        </w:rPr>
      </w:pPr>
    </w:p>
    <w:p>
      <w:pPr>
        <w:tabs>
          <w:tab w:val="left" w:pos="3390"/>
        </w:tabs>
        <w:spacing w:line="480" w:lineRule="exact"/>
        <w:ind w:firstLine="1592" w:firstLineChars="531"/>
        <w:jc w:val="left"/>
        <w:outlineLvl w:val="9"/>
        <w:rPr>
          <w:rFonts w:ascii="宋体" w:hAnsi="宋体"/>
          <w:color w:val="auto"/>
          <w:sz w:val="30"/>
          <w:szCs w:val="30"/>
          <w:highlight w:val="none"/>
        </w:rPr>
      </w:pPr>
      <w:bookmarkStart w:id="2" w:name="_Toc20766"/>
      <w:r>
        <w:rPr>
          <w:rFonts w:hint="eastAsia" w:ascii="宋体" w:hAnsi="宋体"/>
          <w:color w:val="auto"/>
          <w:sz w:val="30"/>
          <w:szCs w:val="30"/>
          <w:highlight w:val="none"/>
        </w:rPr>
        <w:t>比选人：重庆市制造业人才服务中心</w:t>
      </w:r>
      <w:bookmarkEnd w:id="2"/>
    </w:p>
    <w:p>
      <w:pPr>
        <w:spacing w:line="480" w:lineRule="exact"/>
        <w:ind w:firstLine="1592" w:firstLineChars="531"/>
        <w:outlineLvl w:val="9"/>
        <w:rPr>
          <w:rFonts w:ascii="宋体" w:hAnsi="宋体"/>
          <w:color w:val="auto"/>
          <w:sz w:val="30"/>
          <w:szCs w:val="30"/>
          <w:highlight w:val="none"/>
        </w:rPr>
      </w:pPr>
      <w:bookmarkStart w:id="3" w:name="_Toc14836"/>
      <w:r>
        <w:rPr>
          <w:rFonts w:hint="eastAsia" w:ascii="宋体" w:hAnsi="宋体"/>
          <w:color w:val="auto"/>
          <w:sz w:val="30"/>
          <w:szCs w:val="30"/>
          <w:highlight w:val="none"/>
        </w:rPr>
        <w:t>比选代理机构：瀚景项目管理有限公司重庆分公司</w:t>
      </w:r>
      <w:bookmarkEnd w:id="3"/>
    </w:p>
    <w:p>
      <w:pPr>
        <w:spacing w:line="720" w:lineRule="exact"/>
        <w:jc w:val="center"/>
        <w:outlineLvl w:val="0"/>
        <w:rPr>
          <w:rFonts w:ascii="宋体" w:hAnsi="宋体"/>
          <w:color w:val="auto"/>
          <w:sz w:val="30"/>
          <w:szCs w:val="30"/>
          <w:highlight w:val="none"/>
        </w:rPr>
      </w:pPr>
    </w:p>
    <w:p>
      <w:pPr>
        <w:spacing w:line="720" w:lineRule="exact"/>
        <w:jc w:val="center"/>
        <w:outlineLvl w:val="9"/>
        <w:rPr>
          <w:rFonts w:ascii="方正正黑_GBK" w:hAnsi="宋体" w:eastAsia="方正正黑_GBK"/>
          <w:color w:val="auto"/>
          <w:sz w:val="30"/>
          <w:szCs w:val="30"/>
          <w:highlight w:val="none"/>
        </w:rPr>
      </w:pPr>
      <w:bookmarkStart w:id="4" w:name="_Toc13092"/>
      <w:r>
        <w:rPr>
          <w:rFonts w:hint="eastAsia" w:ascii="方正正黑_GBK" w:hAnsi="宋体" w:eastAsia="方正正黑_GBK"/>
          <w:color w:val="auto"/>
          <w:sz w:val="30"/>
          <w:szCs w:val="30"/>
          <w:highlight w:val="none"/>
          <w:lang w:eastAsia="zh-CN"/>
        </w:rPr>
        <w:t>二〇二三年</w:t>
      </w:r>
      <w:r>
        <w:rPr>
          <w:rFonts w:hint="eastAsia" w:ascii="方正正黑_GBK" w:hAnsi="宋体" w:eastAsia="方正正黑_GBK"/>
          <w:color w:val="auto"/>
          <w:sz w:val="30"/>
          <w:szCs w:val="30"/>
          <w:highlight w:val="none"/>
          <w:lang w:val="en-US" w:eastAsia="zh-CN"/>
        </w:rPr>
        <w:t>五</w:t>
      </w:r>
      <w:r>
        <w:rPr>
          <w:rFonts w:hint="eastAsia" w:ascii="方正正黑_GBK" w:hAnsi="宋体" w:eastAsia="方正正黑_GBK"/>
          <w:color w:val="auto"/>
          <w:sz w:val="30"/>
          <w:szCs w:val="30"/>
          <w:highlight w:val="none"/>
        </w:rPr>
        <w:t>月</w:t>
      </w:r>
      <w:bookmarkEnd w:id="4"/>
    </w:p>
    <w:p>
      <w:pPr>
        <w:spacing w:line="480" w:lineRule="exact"/>
        <w:jc w:val="center"/>
        <w:outlineLvl w:val="0"/>
        <w:rPr>
          <w:rFonts w:ascii="方正小标宋_GBK" w:eastAsia="方正小标宋_GBK"/>
          <w:color w:val="auto"/>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pPr>
        <w:spacing w:line="480" w:lineRule="exact"/>
        <w:jc w:val="center"/>
        <w:outlineLvl w:val="9"/>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 xml:space="preserve"> </w:t>
      </w:r>
      <w:bookmarkStart w:id="5" w:name="_Toc28464"/>
      <w:r>
        <w:rPr>
          <w:rFonts w:hint="eastAsia" w:ascii="方正小标宋_GBK" w:eastAsia="方正小标宋_GBK"/>
          <w:color w:val="auto"/>
          <w:sz w:val="36"/>
          <w:szCs w:val="36"/>
          <w:highlight w:val="none"/>
        </w:rPr>
        <w:t>目   录</w:t>
      </w:r>
      <w:bookmarkEnd w:id="5"/>
    </w:p>
    <w:sdt>
      <w:sdtPr>
        <w:rPr>
          <w:rFonts w:ascii="宋体" w:hAnsi="宋体"/>
          <w:color w:val="auto"/>
          <w:sz w:val="21"/>
          <w:highlight w:val="none"/>
        </w:rPr>
        <w:id w:val="147466751"/>
        <w15:color w:val="DBDBDB"/>
        <w:docPartObj>
          <w:docPartGallery w:val="Table of Contents"/>
          <w:docPartUnique/>
        </w:docPartObj>
      </w:sdtPr>
      <w:sdtEndPr>
        <w:rPr>
          <w:rFonts w:ascii="方正仿宋_GBK" w:hAnsi="Calibri" w:eastAsia="方正仿宋_GBK"/>
          <w:color w:val="auto"/>
          <w:sz w:val="28"/>
          <w:szCs w:val="21"/>
          <w:highlight w:val="none"/>
        </w:rPr>
      </w:sdtEndPr>
      <w:sdtContent>
        <w:p>
          <w:pPr>
            <w:pStyle w:val="49"/>
            <w:tabs>
              <w:tab w:val="right" w:leader="dot" w:pos="9000"/>
            </w:tabs>
            <w:spacing w:line="340" w:lineRule="exact"/>
            <w:ind w:left="0" w:leftChars="0"/>
            <w:jc w:val="center"/>
            <w:rPr>
              <w:rFonts w:ascii="方正仿宋_GBK" w:hAnsi="Calibri" w:eastAsia="方正仿宋_GBK" w:cs="Times New Roman"/>
              <w:color w:val="auto"/>
              <w:kern w:val="0"/>
              <w:sz w:val="20"/>
              <w:szCs w:val="21"/>
              <w:highlight w:val="none"/>
              <w:lang w:val="en-US" w:eastAsia="zh-CN" w:bidi="ar-SA"/>
            </w:rPr>
          </w:pPr>
          <w:r>
            <w:rPr>
              <w:rFonts w:ascii="方正仿宋_GBK" w:hAnsi="Calibri" w:eastAsia="方正仿宋_GBK"/>
              <w:color w:val="auto"/>
              <w:sz w:val="21"/>
              <w:szCs w:val="21"/>
              <w:highlight w:val="none"/>
            </w:rPr>
            <w:fldChar w:fldCharType="begin"/>
          </w:r>
          <w:r>
            <w:rPr>
              <w:rFonts w:ascii="方正仿宋_GBK" w:hAnsi="Calibri" w:eastAsia="方正仿宋_GBK"/>
              <w:color w:val="auto"/>
              <w:sz w:val="21"/>
              <w:szCs w:val="21"/>
              <w:highlight w:val="none"/>
            </w:rPr>
            <w:instrText xml:space="preserve">TOC \o "1-3" \h \u </w:instrText>
          </w:r>
          <w:r>
            <w:rPr>
              <w:rFonts w:ascii="方正仿宋_GBK" w:hAnsi="Calibri" w:eastAsia="方正仿宋_GBK"/>
              <w:color w:val="auto"/>
              <w:sz w:val="21"/>
              <w:szCs w:val="21"/>
              <w:highlight w:val="none"/>
            </w:rPr>
            <w:fldChar w:fldCharType="separate"/>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_Toc17194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第一篇  竞争性比选邀请书</w:t>
          </w:r>
          <w:r>
            <w:rPr>
              <w:color w:val="auto"/>
              <w:highlight w:val="none"/>
            </w:rPr>
            <w:tab/>
          </w:r>
          <w:r>
            <w:rPr>
              <w:color w:val="auto"/>
              <w:highlight w:val="none"/>
            </w:rPr>
            <w:fldChar w:fldCharType="begin"/>
          </w:r>
          <w:r>
            <w:rPr>
              <w:color w:val="auto"/>
              <w:highlight w:val="none"/>
            </w:rPr>
            <w:instrText xml:space="preserve"> PAGEREF _Toc17194 \h </w:instrText>
          </w:r>
          <w:r>
            <w:rPr>
              <w:color w:val="auto"/>
              <w:highlight w:val="none"/>
            </w:rPr>
            <w:fldChar w:fldCharType="separate"/>
          </w:r>
          <w:r>
            <w:rPr>
              <w:color w:val="auto"/>
              <w:highlight w:val="none"/>
            </w:rPr>
            <w:t>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_Toc31373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_Toc31373 \h </w:instrText>
          </w:r>
          <w:r>
            <w:rPr>
              <w:color w:val="auto"/>
              <w:highlight w:val="none"/>
            </w:rPr>
            <w:fldChar w:fldCharType="separate"/>
          </w:r>
          <w:r>
            <w:rPr>
              <w:color w:val="auto"/>
              <w:highlight w:val="none"/>
            </w:rPr>
            <w:t>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_Toc24852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二、资金来源</w:t>
          </w:r>
          <w:r>
            <w:rPr>
              <w:color w:val="auto"/>
              <w:highlight w:val="none"/>
            </w:rPr>
            <w:tab/>
          </w:r>
          <w:r>
            <w:rPr>
              <w:color w:val="auto"/>
              <w:highlight w:val="none"/>
            </w:rPr>
            <w:fldChar w:fldCharType="begin"/>
          </w:r>
          <w:r>
            <w:rPr>
              <w:color w:val="auto"/>
              <w:highlight w:val="none"/>
            </w:rPr>
            <w:instrText xml:space="preserve"> PAGEREF _Toc24852 \h </w:instrText>
          </w:r>
          <w:r>
            <w:rPr>
              <w:color w:val="auto"/>
              <w:highlight w:val="none"/>
            </w:rPr>
            <w:fldChar w:fldCharType="separate"/>
          </w:r>
          <w:r>
            <w:rPr>
              <w:color w:val="auto"/>
              <w:highlight w:val="none"/>
            </w:rPr>
            <w:t>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_Toc14943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三、竞选人</w:t>
          </w:r>
          <w:r>
            <w:rPr>
              <w:rFonts w:ascii="宋体" w:hAnsi="宋体"/>
              <w:color w:val="auto"/>
              <w:szCs w:val="28"/>
              <w:highlight w:val="none"/>
            </w:rPr>
            <w:t>的</w:t>
          </w:r>
          <w:r>
            <w:rPr>
              <w:rFonts w:hint="eastAsia" w:ascii="宋体" w:hAnsi="宋体"/>
              <w:color w:val="auto"/>
              <w:szCs w:val="28"/>
              <w:highlight w:val="none"/>
            </w:rPr>
            <w:t>资格条</w:t>
          </w:r>
          <w:r>
            <w:rPr>
              <w:rFonts w:ascii="宋体" w:hAnsi="宋体"/>
              <w:color w:val="auto"/>
              <w:szCs w:val="28"/>
              <w:highlight w:val="none"/>
            </w:rPr>
            <w:t>件</w:t>
          </w:r>
          <w:r>
            <w:rPr>
              <w:color w:val="auto"/>
              <w:highlight w:val="none"/>
            </w:rPr>
            <w:tab/>
          </w:r>
          <w:r>
            <w:rPr>
              <w:color w:val="auto"/>
              <w:highlight w:val="none"/>
            </w:rPr>
            <w:fldChar w:fldCharType="begin"/>
          </w:r>
          <w:r>
            <w:rPr>
              <w:color w:val="auto"/>
              <w:highlight w:val="none"/>
            </w:rPr>
            <w:instrText xml:space="preserve"> PAGEREF _Toc14943 \h </w:instrText>
          </w:r>
          <w:r>
            <w:rPr>
              <w:color w:val="auto"/>
              <w:highlight w:val="none"/>
            </w:rPr>
            <w:fldChar w:fldCharType="separate"/>
          </w:r>
          <w:r>
            <w:rPr>
              <w:color w:val="auto"/>
              <w:highlight w:val="none"/>
            </w:rPr>
            <w:t>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_Toc12044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四、比选的有关说明</w:t>
          </w:r>
          <w:r>
            <w:rPr>
              <w:color w:val="auto"/>
              <w:highlight w:val="none"/>
            </w:rPr>
            <w:tab/>
          </w:r>
          <w:r>
            <w:rPr>
              <w:color w:val="auto"/>
              <w:highlight w:val="none"/>
            </w:rPr>
            <w:fldChar w:fldCharType="begin"/>
          </w:r>
          <w:r>
            <w:rPr>
              <w:color w:val="auto"/>
              <w:highlight w:val="none"/>
            </w:rPr>
            <w:instrText xml:space="preserve"> PAGEREF _Toc12044 \h </w:instrText>
          </w:r>
          <w:r>
            <w:rPr>
              <w:color w:val="auto"/>
              <w:highlight w:val="none"/>
            </w:rPr>
            <w:fldChar w:fldCharType="separate"/>
          </w:r>
          <w:r>
            <w:rPr>
              <w:color w:val="auto"/>
              <w:highlight w:val="none"/>
            </w:rPr>
            <w:t>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_Toc6599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五、保证金</w:t>
          </w:r>
          <w:r>
            <w:rPr>
              <w:color w:val="auto"/>
              <w:highlight w:val="none"/>
            </w:rPr>
            <w:tab/>
          </w:r>
          <w:r>
            <w:rPr>
              <w:color w:val="auto"/>
              <w:highlight w:val="none"/>
            </w:rPr>
            <w:fldChar w:fldCharType="begin"/>
          </w:r>
          <w:r>
            <w:rPr>
              <w:color w:val="auto"/>
              <w:highlight w:val="none"/>
            </w:rPr>
            <w:instrText xml:space="preserve"> PAGEREF _Toc6599 \h </w:instrText>
          </w:r>
          <w:r>
            <w:rPr>
              <w:color w:val="auto"/>
              <w:highlight w:val="none"/>
            </w:rPr>
            <w:fldChar w:fldCharType="separate"/>
          </w:r>
          <w:r>
            <w:rPr>
              <w:color w:val="auto"/>
              <w:highlight w:val="none"/>
            </w:rPr>
            <w:t>2</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_Toc24581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_Toc24581 \h </w:instrText>
          </w:r>
          <w:r>
            <w:rPr>
              <w:color w:val="auto"/>
              <w:highlight w:val="none"/>
            </w:rPr>
            <w:fldChar w:fldCharType="separate"/>
          </w:r>
          <w:r>
            <w:rPr>
              <w:color w:val="auto"/>
              <w:highlight w:val="none"/>
            </w:rPr>
            <w:t>2</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_Toc6127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_Toc6127 \h </w:instrText>
          </w:r>
          <w:r>
            <w:rPr>
              <w:color w:val="auto"/>
              <w:highlight w:val="none"/>
            </w:rPr>
            <w:fldChar w:fldCharType="separate"/>
          </w:r>
          <w:r>
            <w:rPr>
              <w:color w:val="auto"/>
              <w:highlight w:val="none"/>
            </w:rPr>
            <w:t>3</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_Toc13941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_Toc13941 \h </w:instrText>
          </w:r>
          <w:r>
            <w:rPr>
              <w:color w:val="auto"/>
              <w:highlight w:val="none"/>
            </w:rPr>
            <w:fldChar w:fldCharType="separate"/>
          </w:r>
          <w:r>
            <w:rPr>
              <w:color w:val="auto"/>
              <w:highlight w:val="none"/>
            </w:rPr>
            <w:t>5</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_Toc5509 </w:instrText>
          </w:r>
          <w:r>
            <w:rPr>
              <w:rFonts w:ascii="方正仿宋_GBK" w:hAnsi="Calibri" w:eastAsia="方正仿宋_GBK"/>
              <w:color w:val="auto"/>
              <w:szCs w:val="21"/>
              <w:highlight w:val="none"/>
            </w:rPr>
            <w:fldChar w:fldCharType="separate"/>
          </w:r>
          <w:r>
            <w:rPr>
              <w:rFonts w:hint="eastAsia"/>
              <w:color w:val="auto"/>
              <w:szCs w:val="28"/>
              <w:highlight w:val="none"/>
            </w:rPr>
            <w:t>★</w:t>
          </w:r>
          <w:r>
            <w:rPr>
              <w:rFonts w:hint="eastAsia" w:ascii="宋体" w:hAnsi="宋体"/>
              <w:color w:val="auto"/>
              <w:szCs w:val="28"/>
              <w:highlight w:val="none"/>
              <w:lang w:val="en-US" w:eastAsia="zh-CN"/>
            </w:rPr>
            <w:t>一</w:t>
          </w:r>
          <w:r>
            <w:rPr>
              <w:rFonts w:hint="eastAsia" w:ascii="宋体" w:hAnsi="宋体"/>
              <w:color w:val="auto"/>
              <w:szCs w:val="28"/>
              <w:highlight w:val="none"/>
            </w:rPr>
            <w:t>、工作内容</w:t>
          </w:r>
          <w:r>
            <w:rPr>
              <w:color w:val="auto"/>
              <w:highlight w:val="none"/>
            </w:rPr>
            <w:tab/>
          </w:r>
          <w:r>
            <w:rPr>
              <w:color w:val="auto"/>
              <w:highlight w:val="none"/>
            </w:rPr>
            <w:fldChar w:fldCharType="begin"/>
          </w:r>
          <w:r>
            <w:rPr>
              <w:color w:val="auto"/>
              <w:highlight w:val="none"/>
            </w:rPr>
            <w:instrText xml:space="preserve"> PAGEREF _Toc5509 \h </w:instrText>
          </w:r>
          <w:r>
            <w:rPr>
              <w:color w:val="auto"/>
              <w:highlight w:val="none"/>
            </w:rPr>
            <w:fldChar w:fldCharType="separate"/>
          </w:r>
          <w:r>
            <w:rPr>
              <w:color w:val="auto"/>
              <w:highlight w:val="none"/>
            </w:rPr>
            <w:t>5</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_Toc24606 </w:instrText>
          </w:r>
          <w:r>
            <w:rPr>
              <w:rFonts w:ascii="方正仿宋_GBK" w:hAnsi="Calibri" w:eastAsia="方正仿宋_GBK"/>
              <w:color w:val="auto"/>
              <w:szCs w:val="21"/>
              <w:highlight w:val="none"/>
            </w:rPr>
            <w:fldChar w:fldCharType="separate"/>
          </w:r>
          <w:r>
            <w:rPr>
              <w:rFonts w:hint="eastAsia"/>
              <w:color w:val="auto"/>
              <w:highlight w:val="none"/>
            </w:rPr>
            <w:t>第三篇  项目商务要求</w:t>
          </w:r>
          <w:r>
            <w:rPr>
              <w:color w:val="auto"/>
              <w:highlight w:val="none"/>
            </w:rPr>
            <w:tab/>
          </w:r>
          <w:r>
            <w:rPr>
              <w:color w:val="auto"/>
              <w:highlight w:val="none"/>
            </w:rPr>
            <w:fldChar w:fldCharType="begin"/>
          </w:r>
          <w:r>
            <w:rPr>
              <w:color w:val="auto"/>
              <w:highlight w:val="none"/>
            </w:rPr>
            <w:instrText xml:space="preserve"> PAGEREF _Toc24606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_Toc16870 </w:instrText>
          </w:r>
          <w:r>
            <w:rPr>
              <w:rFonts w:ascii="方正仿宋_GBK" w:hAnsi="Calibri" w:eastAsia="方正仿宋_GBK"/>
              <w:color w:val="auto"/>
              <w:szCs w:val="21"/>
              <w:highlight w:val="none"/>
            </w:rPr>
            <w:fldChar w:fldCharType="separate"/>
          </w:r>
          <w:r>
            <w:rPr>
              <w:rFonts w:hint="eastAsia"/>
              <w:color w:val="auto"/>
              <w:szCs w:val="28"/>
              <w:highlight w:val="none"/>
            </w:rPr>
            <w:t>★</w:t>
          </w:r>
          <w:r>
            <w:rPr>
              <w:rFonts w:hint="eastAsia"/>
              <w:bCs/>
              <w:color w:val="auto"/>
              <w:szCs w:val="28"/>
              <w:highlight w:val="none"/>
              <w:lang w:val="zh-CN"/>
            </w:rPr>
            <w:t>一、服务期、服务地点及验收方式</w:t>
          </w:r>
          <w:r>
            <w:rPr>
              <w:color w:val="auto"/>
              <w:highlight w:val="none"/>
            </w:rPr>
            <w:tab/>
          </w:r>
          <w:r>
            <w:rPr>
              <w:color w:val="auto"/>
              <w:highlight w:val="none"/>
            </w:rPr>
            <w:fldChar w:fldCharType="begin"/>
          </w:r>
          <w:r>
            <w:rPr>
              <w:color w:val="auto"/>
              <w:highlight w:val="none"/>
            </w:rPr>
            <w:instrText xml:space="preserve"> PAGEREF _Toc16870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_Toc11525 </w:instrText>
          </w:r>
          <w:r>
            <w:rPr>
              <w:rFonts w:ascii="方正仿宋_GBK" w:hAnsi="Calibri" w:eastAsia="方正仿宋_GBK"/>
              <w:color w:val="auto"/>
              <w:szCs w:val="21"/>
              <w:highlight w:val="none"/>
            </w:rPr>
            <w:fldChar w:fldCharType="separate"/>
          </w:r>
          <w:r>
            <w:rPr>
              <w:rFonts w:hint="eastAsia"/>
              <w:color w:val="auto"/>
              <w:szCs w:val="28"/>
              <w:highlight w:val="none"/>
            </w:rPr>
            <w:t>★</w:t>
          </w:r>
          <w:r>
            <w:rPr>
              <w:rFonts w:hint="eastAsia"/>
              <w:bCs/>
              <w:color w:val="auto"/>
              <w:szCs w:val="28"/>
              <w:highlight w:val="none"/>
              <w:lang w:val="zh-CN"/>
            </w:rPr>
            <w:t>二、报价要求</w:t>
          </w:r>
          <w:r>
            <w:rPr>
              <w:color w:val="auto"/>
              <w:highlight w:val="none"/>
            </w:rPr>
            <w:tab/>
          </w:r>
          <w:r>
            <w:rPr>
              <w:color w:val="auto"/>
              <w:highlight w:val="none"/>
            </w:rPr>
            <w:fldChar w:fldCharType="begin"/>
          </w:r>
          <w:r>
            <w:rPr>
              <w:color w:val="auto"/>
              <w:highlight w:val="none"/>
            </w:rPr>
            <w:instrText xml:space="preserve"> PAGEREF _Toc11525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_Toc31416 </w:instrText>
          </w:r>
          <w:r>
            <w:rPr>
              <w:rFonts w:ascii="方正仿宋_GBK" w:hAnsi="Calibri" w:eastAsia="方正仿宋_GBK"/>
              <w:color w:val="auto"/>
              <w:szCs w:val="21"/>
              <w:highlight w:val="none"/>
            </w:rPr>
            <w:fldChar w:fldCharType="separate"/>
          </w:r>
          <w:r>
            <w:rPr>
              <w:rFonts w:hint="eastAsia" w:ascii="Times New Roman" w:hAnsi="Times New Roman" w:eastAsia="宋体" w:cs="Times New Roman"/>
              <w:bCs/>
              <w:color w:val="auto"/>
              <w:kern w:val="0"/>
              <w:szCs w:val="28"/>
              <w:highlight w:val="none"/>
              <w:lang w:val="zh-CN" w:eastAsia="zh-CN" w:bidi="ar-SA"/>
            </w:rPr>
            <w:t>★三、付款方式</w:t>
          </w:r>
          <w:r>
            <w:rPr>
              <w:color w:val="auto"/>
              <w:highlight w:val="none"/>
            </w:rPr>
            <w:tab/>
          </w:r>
          <w:r>
            <w:rPr>
              <w:color w:val="auto"/>
              <w:highlight w:val="none"/>
            </w:rPr>
            <w:fldChar w:fldCharType="begin"/>
          </w:r>
          <w:r>
            <w:rPr>
              <w:color w:val="auto"/>
              <w:highlight w:val="none"/>
            </w:rPr>
            <w:instrText xml:space="preserve"> PAGEREF _Toc31416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_Toc25374 </w:instrText>
          </w:r>
          <w:r>
            <w:rPr>
              <w:rFonts w:ascii="方正仿宋_GBK" w:hAnsi="Calibri" w:eastAsia="方正仿宋_GBK"/>
              <w:color w:val="auto"/>
              <w:szCs w:val="21"/>
              <w:highlight w:val="none"/>
            </w:rPr>
            <w:fldChar w:fldCharType="separate"/>
          </w:r>
          <w:r>
            <w:rPr>
              <w:rFonts w:hint="eastAsia" w:ascii="Times New Roman" w:hAnsi="Times New Roman" w:eastAsia="宋体" w:cs="Times New Roman"/>
              <w:bCs/>
              <w:color w:val="auto"/>
              <w:kern w:val="0"/>
              <w:szCs w:val="28"/>
              <w:highlight w:val="none"/>
              <w:lang w:val="zh-CN" w:eastAsia="zh-CN" w:bidi="ar-SA"/>
            </w:rPr>
            <w:t>★四、违约条款</w:t>
          </w:r>
          <w:r>
            <w:rPr>
              <w:color w:val="auto"/>
              <w:highlight w:val="none"/>
            </w:rPr>
            <w:tab/>
          </w:r>
          <w:r>
            <w:rPr>
              <w:color w:val="auto"/>
              <w:highlight w:val="none"/>
            </w:rPr>
            <w:fldChar w:fldCharType="begin"/>
          </w:r>
          <w:r>
            <w:rPr>
              <w:color w:val="auto"/>
              <w:highlight w:val="none"/>
            </w:rPr>
            <w:instrText xml:space="preserve"> PAGEREF _Toc25374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_Toc31068 </w:instrText>
          </w:r>
          <w:r>
            <w:rPr>
              <w:rFonts w:ascii="方正仿宋_GBK" w:hAnsi="Calibri" w:eastAsia="方正仿宋_GBK"/>
              <w:color w:val="auto"/>
              <w:szCs w:val="21"/>
              <w:highlight w:val="none"/>
            </w:rPr>
            <w:fldChar w:fldCharType="separate"/>
          </w:r>
          <w:r>
            <w:rPr>
              <w:rFonts w:hint="eastAsia" w:ascii="Times New Roman" w:hAnsi="Times New Roman" w:eastAsia="宋体" w:cs="Times New Roman"/>
              <w:bCs/>
              <w:color w:val="auto"/>
              <w:kern w:val="0"/>
              <w:szCs w:val="28"/>
              <w:highlight w:val="none"/>
              <w:lang w:val="zh-CN" w:eastAsia="zh-CN" w:bidi="ar-SA"/>
            </w:rPr>
            <w:t>★五、不可抗力</w:t>
          </w:r>
          <w:r>
            <w:rPr>
              <w:color w:val="auto"/>
              <w:highlight w:val="none"/>
            </w:rPr>
            <w:tab/>
          </w:r>
          <w:r>
            <w:rPr>
              <w:color w:val="auto"/>
              <w:highlight w:val="none"/>
            </w:rPr>
            <w:fldChar w:fldCharType="begin"/>
          </w:r>
          <w:r>
            <w:rPr>
              <w:color w:val="auto"/>
              <w:highlight w:val="none"/>
            </w:rPr>
            <w:instrText xml:space="preserve"> PAGEREF _Toc31068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_Toc15491 </w:instrText>
          </w:r>
          <w:r>
            <w:rPr>
              <w:rFonts w:ascii="方正仿宋_GBK" w:hAnsi="Calibri" w:eastAsia="方正仿宋_GBK"/>
              <w:color w:val="auto"/>
              <w:szCs w:val="21"/>
              <w:highlight w:val="none"/>
            </w:rPr>
            <w:fldChar w:fldCharType="separate"/>
          </w:r>
          <w:r>
            <w:rPr>
              <w:rFonts w:hint="eastAsia" w:ascii="Times New Roman" w:hAnsi="Times New Roman" w:eastAsia="宋体" w:cs="Times New Roman"/>
              <w:bCs/>
              <w:color w:val="auto"/>
              <w:kern w:val="0"/>
              <w:szCs w:val="28"/>
              <w:highlight w:val="none"/>
              <w:lang w:val="zh-CN" w:eastAsia="zh-CN" w:bidi="ar-SA"/>
            </w:rPr>
            <w:t>★六、知识产权</w:t>
          </w:r>
          <w:r>
            <w:rPr>
              <w:color w:val="auto"/>
              <w:highlight w:val="none"/>
            </w:rPr>
            <w:tab/>
          </w:r>
          <w:r>
            <w:rPr>
              <w:color w:val="auto"/>
              <w:highlight w:val="none"/>
            </w:rPr>
            <w:fldChar w:fldCharType="begin"/>
          </w:r>
          <w:r>
            <w:rPr>
              <w:color w:val="auto"/>
              <w:highlight w:val="none"/>
            </w:rPr>
            <w:instrText xml:space="preserve"> PAGEREF _Toc15491 \h </w:instrText>
          </w:r>
          <w:r>
            <w:rPr>
              <w:color w:val="auto"/>
              <w:highlight w:val="none"/>
            </w:rPr>
            <w:fldChar w:fldCharType="separate"/>
          </w:r>
          <w:r>
            <w:rPr>
              <w:color w:val="auto"/>
              <w:highlight w:val="none"/>
            </w:rPr>
            <w:t>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_Toc17624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七、</w:t>
          </w:r>
          <w:r>
            <w:rPr>
              <w:rFonts w:hint="eastAsia"/>
              <w:color w:val="auto"/>
              <w:szCs w:val="28"/>
              <w:highlight w:val="none"/>
            </w:rPr>
            <w:t>其他</w:t>
          </w:r>
          <w:r>
            <w:rPr>
              <w:color w:val="auto"/>
              <w:highlight w:val="none"/>
            </w:rPr>
            <w:tab/>
          </w:r>
          <w:r>
            <w:rPr>
              <w:color w:val="auto"/>
              <w:highlight w:val="none"/>
            </w:rPr>
            <w:fldChar w:fldCharType="begin"/>
          </w:r>
          <w:r>
            <w:rPr>
              <w:color w:val="auto"/>
              <w:highlight w:val="none"/>
            </w:rPr>
            <w:instrText xml:space="preserve"> PAGEREF _Toc17624 \h </w:instrText>
          </w:r>
          <w:r>
            <w:rPr>
              <w:color w:val="auto"/>
              <w:highlight w:val="none"/>
            </w:rPr>
            <w:fldChar w:fldCharType="separate"/>
          </w:r>
          <w:r>
            <w:rPr>
              <w:color w:val="auto"/>
              <w:highlight w:val="none"/>
            </w:rPr>
            <w:t>8</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_Toc19499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第四篇  比选程序及方法、评审标准等</w:t>
          </w:r>
          <w:r>
            <w:rPr>
              <w:color w:val="auto"/>
              <w:highlight w:val="none"/>
            </w:rPr>
            <w:tab/>
          </w:r>
          <w:r>
            <w:rPr>
              <w:color w:val="auto"/>
              <w:highlight w:val="none"/>
            </w:rPr>
            <w:fldChar w:fldCharType="begin"/>
          </w:r>
          <w:r>
            <w:rPr>
              <w:color w:val="auto"/>
              <w:highlight w:val="none"/>
            </w:rPr>
            <w:instrText xml:space="preserve"> PAGEREF _Toc19499 \h </w:instrText>
          </w:r>
          <w:r>
            <w:rPr>
              <w:color w:val="auto"/>
              <w:highlight w:val="none"/>
            </w:rPr>
            <w:fldChar w:fldCharType="separate"/>
          </w:r>
          <w:r>
            <w:rPr>
              <w:color w:val="auto"/>
              <w:highlight w:val="none"/>
            </w:rPr>
            <w:t>9</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_Toc21547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_Toc21547 \h </w:instrText>
          </w:r>
          <w:r>
            <w:rPr>
              <w:color w:val="auto"/>
              <w:highlight w:val="none"/>
            </w:rPr>
            <w:fldChar w:fldCharType="separate"/>
          </w:r>
          <w:r>
            <w:rPr>
              <w:color w:val="auto"/>
              <w:highlight w:val="none"/>
            </w:rPr>
            <w:t>9</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_Toc9588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二、评审标准</w:t>
          </w:r>
          <w:r>
            <w:rPr>
              <w:color w:val="auto"/>
              <w:highlight w:val="none"/>
            </w:rPr>
            <w:tab/>
          </w:r>
          <w:r>
            <w:rPr>
              <w:color w:val="auto"/>
              <w:highlight w:val="none"/>
            </w:rPr>
            <w:fldChar w:fldCharType="begin"/>
          </w:r>
          <w:r>
            <w:rPr>
              <w:color w:val="auto"/>
              <w:highlight w:val="none"/>
            </w:rPr>
            <w:instrText xml:space="preserve"> PAGEREF _Toc9588 \h </w:instrText>
          </w:r>
          <w:r>
            <w:rPr>
              <w:color w:val="auto"/>
              <w:highlight w:val="none"/>
            </w:rPr>
            <w:fldChar w:fldCharType="separate"/>
          </w:r>
          <w:r>
            <w:rPr>
              <w:color w:val="auto"/>
              <w:highlight w:val="none"/>
            </w:rPr>
            <w:t>10</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_Toc27689 </w:instrText>
          </w:r>
          <w:r>
            <w:rPr>
              <w:rFonts w:ascii="方正仿宋_GBK" w:hAnsi="Calibri" w:eastAsia="方正仿宋_GBK"/>
              <w:color w:val="auto"/>
              <w:szCs w:val="21"/>
              <w:highlight w:val="none"/>
            </w:rPr>
            <w:fldChar w:fldCharType="separate"/>
          </w:r>
          <w:r>
            <w:rPr>
              <w:rFonts w:hint="eastAsia" w:ascii="宋体" w:hAnsi="宋体"/>
              <w:color w:val="auto"/>
              <w:szCs w:val="28"/>
              <w:highlight w:val="none"/>
            </w:rPr>
            <w:t>三、无效响应</w:t>
          </w:r>
          <w:r>
            <w:rPr>
              <w:color w:val="auto"/>
              <w:highlight w:val="none"/>
            </w:rPr>
            <w:tab/>
          </w:r>
          <w:r>
            <w:rPr>
              <w:color w:val="auto"/>
              <w:highlight w:val="none"/>
            </w:rPr>
            <w:fldChar w:fldCharType="begin"/>
          </w:r>
          <w:r>
            <w:rPr>
              <w:color w:val="auto"/>
              <w:highlight w:val="none"/>
            </w:rPr>
            <w:instrText xml:space="preserve"> PAGEREF _Toc27689 \h </w:instrText>
          </w:r>
          <w:r>
            <w:rPr>
              <w:color w:val="auto"/>
              <w:highlight w:val="none"/>
            </w:rPr>
            <w:fldChar w:fldCharType="separate"/>
          </w:r>
          <w:r>
            <w:rPr>
              <w:color w:val="auto"/>
              <w:highlight w:val="none"/>
            </w:rPr>
            <w:t>11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_Toc17675 </w:instrText>
          </w:r>
          <w:r>
            <w:rPr>
              <w:rFonts w:ascii="方正仿宋_GBK" w:hAnsi="Calibri" w:eastAsia="方正仿宋_GBK"/>
              <w:color w:val="auto"/>
              <w:szCs w:val="21"/>
              <w:highlight w:val="none"/>
            </w:rPr>
            <w:fldChar w:fldCharType="separate"/>
          </w:r>
          <w:r>
            <w:rPr>
              <w:rFonts w:hint="eastAsia" w:ascii="宋体" w:hAnsi="宋体" w:eastAsia="宋体" w:cs="Times New Roman"/>
              <w:color w:val="auto"/>
              <w:kern w:val="0"/>
              <w:szCs w:val="28"/>
              <w:highlight w:val="none"/>
              <w:lang w:val="en-US" w:eastAsia="zh-CN" w:bidi="ar-SA"/>
            </w:rPr>
            <w:t>四、比选终止</w:t>
          </w:r>
          <w:r>
            <w:rPr>
              <w:color w:val="auto"/>
              <w:highlight w:val="none"/>
            </w:rPr>
            <w:tab/>
          </w:r>
          <w:r>
            <w:rPr>
              <w:color w:val="auto"/>
              <w:highlight w:val="none"/>
            </w:rPr>
            <w:fldChar w:fldCharType="begin"/>
          </w:r>
          <w:r>
            <w:rPr>
              <w:color w:val="auto"/>
              <w:highlight w:val="none"/>
            </w:rPr>
            <w:instrText xml:space="preserve"> PAGEREF _Toc17675 \h </w:instrText>
          </w:r>
          <w:r>
            <w:rPr>
              <w:color w:val="auto"/>
              <w:highlight w:val="none"/>
            </w:rPr>
            <w:fldChar w:fldCharType="separate"/>
          </w:r>
          <w:r>
            <w:rPr>
              <w:color w:val="auto"/>
              <w:highlight w:val="none"/>
            </w:rPr>
            <w:t>12</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_Toc23890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第五篇  竞选人须知</w:t>
          </w:r>
          <w:r>
            <w:rPr>
              <w:color w:val="auto"/>
              <w:highlight w:val="none"/>
            </w:rPr>
            <w:tab/>
          </w:r>
          <w:r>
            <w:rPr>
              <w:color w:val="auto"/>
              <w:highlight w:val="none"/>
            </w:rPr>
            <w:fldChar w:fldCharType="begin"/>
          </w:r>
          <w:r>
            <w:rPr>
              <w:color w:val="auto"/>
              <w:highlight w:val="none"/>
            </w:rPr>
            <w:instrText xml:space="preserve"> PAGEREF _Toc23890 \h </w:instrText>
          </w:r>
          <w:r>
            <w:rPr>
              <w:color w:val="auto"/>
              <w:highlight w:val="none"/>
            </w:rPr>
            <w:fldChar w:fldCharType="separate"/>
          </w:r>
          <w:r>
            <w:rPr>
              <w:color w:val="auto"/>
              <w:highlight w:val="none"/>
            </w:rPr>
            <w:t>13</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_Toc28140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一、比选竞选人</w:t>
          </w:r>
          <w:r>
            <w:rPr>
              <w:color w:val="auto"/>
              <w:highlight w:val="none"/>
            </w:rPr>
            <w:tab/>
          </w:r>
          <w:r>
            <w:rPr>
              <w:color w:val="auto"/>
              <w:highlight w:val="none"/>
            </w:rPr>
            <w:fldChar w:fldCharType="begin"/>
          </w:r>
          <w:r>
            <w:rPr>
              <w:color w:val="auto"/>
              <w:highlight w:val="none"/>
            </w:rPr>
            <w:instrText xml:space="preserve"> PAGEREF _Toc28140 \h </w:instrText>
          </w:r>
          <w:r>
            <w:rPr>
              <w:color w:val="auto"/>
              <w:highlight w:val="none"/>
            </w:rPr>
            <w:fldChar w:fldCharType="separate"/>
          </w:r>
          <w:r>
            <w:rPr>
              <w:color w:val="auto"/>
              <w:highlight w:val="none"/>
            </w:rPr>
            <w:t>13</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_Toc10558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_Toc10558 \h </w:instrText>
          </w:r>
          <w:r>
            <w:rPr>
              <w:color w:val="auto"/>
              <w:highlight w:val="none"/>
            </w:rPr>
            <w:fldChar w:fldCharType="separate"/>
          </w:r>
          <w:r>
            <w:rPr>
              <w:color w:val="auto"/>
              <w:highlight w:val="none"/>
            </w:rPr>
            <w:t>13</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_Toc918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三、比选要求</w:t>
          </w:r>
          <w:r>
            <w:rPr>
              <w:color w:val="auto"/>
              <w:highlight w:val="none"/>
            </w:rPr>
            <w:tab/>
          </w:r>
          <w:r>
            <w:rPr>
              <w:color w:val="auto"/>
              <w:highlight w:val="none"/>
            </w:rPr>
            <w:fldChar w:fldCharType="begin"/>
          </w:r>
          <w:r>
            <w:rPr>
              <w:color w:val="auto"/>
              <w:highlight w:val="none"/>
            </w:rPr>
            <w:instrText xml:space="preserve"> PAGEREF _Toc918 \h </w:instrText>
          </w:r>
          <w:r>
            <w:rPr>
              <w:color w:val="auto"/>
              <w:highlight w:val="none"/>
            </w:rPr>
            <w:fldChar w:fldCharType="separate"/>
          </w:r>
          <w:r>
            <w:rPr>
              <w:color w:val="auto"/>
              <w:highlight w:val="none"/>
            </w:rPr>
            <w:t>13</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_Toc5271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四、中选人的确认和变更</w:t>
          </w:r>
          <w:r>
            <w:rPr>
              <w:color w:val="auto"/>
              <w:highlight w:val="none"/>
            </w:rPr>
            <w:tab/>
          </w:r>
          <w:r>
            <w:rPr>
              <w:color w:val="auto"/>
              <w:highlight w:val="none"/>
            </w:rPr>
            <w:fldChar w:fldCharType="begin"/>
          </w:r>
          <w:r>
            <w:rPr>
              <w:color w:val="auto"/>
              <w:highlight w:val="none"/>
            </w:rPr>
            <w:instrText xml:space="preserve"> PAGEREF _Toc5271 \h </w:instrText>
          </w:r>
          <w:r>
            <w:rPr>
              <w:color w:val="auto"/>
              <w:highlight w:val="none"/>
            </w:rPr>
            <w:fldChar w:fldCharType="separate"/>
          </w:r>
          <w:r>
            <w:rPr>
              <w:color w:val="auto"/>
              <w:highlight w:val="none"/>
            </w:rPr>
            <w:t>14</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_Toc29349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五、中选通知</w:t>
          </w:r>
          <w:r>
            <w:rPr>
              <w:color w:val="auto"/>
              <w:highlight w:val="none"/>
            </w:rPr>
            <w:tab/>
          </w:r>
          <w:r>
            <w:rPr>
              <w:color w:val="auto"/>
              <w:highlight w:val="none"/>
            </w:rPr>
            <w:fldChar w:fldCharType="begin"/>
          </w:r>
          <w:r>
            <w:rPr>
              <w:color w:val="auto"/>
              <w:highlight w:val="none"/>
            </w:rPr>
            <w:instrText xml:space="preserve"> PAGEREF _Toc29349 \h </w:instrText>
          </w:r>
          <w:r>
            <w:rPr>
              <w:color w:val="auto"/>
              <w:highlight w:val="none"/>
            </w:rPr>
            <w:fldChar w:fldCharType="separate"/>
          </w:r>
          <w:r>
            <w:rPr>
              <w:color w:val="auto"/>
              <w:highlight w:val="none"/>
            </w:rPr>
            <w:t>14</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_Toc4539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六、比选代理服务费</w:t>
          </w:r>
          <w:r>
            <w:rPr>
              <w:color w:val="auto"/>
              <w:highlight w:val="none"/>
            </w:rPr>
            <w:tab/>
          </w:r>
          <w:r>
            <w:rPr>
              <w:color w:val="auto"/>
              <w:highlight w:val="none"/>
            </w:rPr>
            <w:fldChar w:fldCharType="begin"/>
          </w:r>
          <w:r>
            <w:rPr>
              <w:color w:val="auto"/>
              <w:highlight w:val="none"/>
            </w:rPr>
            <w:instrText xml:space="preserve"> PAGEREF _Toc4539 \h </w:instrText>
          </w:r>
          <w:r>
            <w:rPr>
              <w:color w:val="auto"/>
              <w:highlight w:val="none"/>
            </w:rPr>
            <w:fldChar w:fldCharType="separate"/>
          </w:r>
          <w:r>
            <w:rPr>
              <w:color w:val="auto"/>
              <w:highlight w:val="none"/>
            </w:rPr>
            <w:t>14</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_Toc875 </w:instrText>
          </w:r>
          <w:r>
            <w:rPr>
              <w:rFonts w:ascii="方正仿宋_GBK" w:hAnsi="Calibri" w:eastAsia="方正仿宋_GBK"/>
              <w:color w:val="auto"/>
              <w:szCs w:val="21"/>
              <w:highlight w:val="none"/>
            </w:rPr>
            <w:fldChar w:fldCharType="separate"/>
          </w:r>
          <w:r>
            <w:rPr>
              <w:rFonts w:hint="eastAsia" w:asciiTheme="minorEastAsia" w:hAnsiTheme="minorEastAsia" w:eastAsiaTheme="minorEastAsia" w:cstheme="minorEastAsia"/>
              <w:color w:val="auto"/>
              <w:szCs w:val="20"/>
              <w:highlight w:val="none"/>
            </w:rPr>
            <w:t>七、签订合同</w:t>
          </w:r>
          <w:r>
            <w:rPr>
              <w:color w:val="auto"/>
              <w:highlight w:val="none"/>
            </w:rPr>
            <w:tab/>
          </w:r>
          <w:r>
            <w:rPr>
              <w:color w:val="auto"/>
              <w:highlight w:val="none"/>
            </w:rPr>
            <w:fldChar w:fldCharType="begin"/>
          </w:r>
          <w:r>
            <w:rPr>
              <w:color w:val="auto"/>
              <w:highlight w:val="none"/>
            </w:rPr>
            <w:instrText xml:space="preserve"> PAGEREF _Toc875 \h </w:instrText>
          </w:r>
          <w:r>
            <w:rPr>
              <w:color w:val="auto"/>
              <w:highlight w:val="none"/>
            </w:rPr>
            <w:fldChar w:fldCharType="separate"/>
          </w:r>
          <w:r>
            <w:rPr>
              <w:color w:val="auto"/>
              <w:highlight w:val="none"/>
            </w:rPr>
            <w:t>15</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_Toc4465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w:t>
          </w:r>
          <w:r>
            <w:rPr>
              <w:rFonts w:ascii="宋体" w:hAnsi="宋体" w:eastAsia="宋体"/>
              <w:color w:val="auto"/>
              <w:szCs w:val="36"/>
              <w:highlight w:val="none"/>
            </w:rPr>
            <w:t>六篇</w:t>
          </w:r>
          <w:r>
            <w:rPr>
              <w:rFonts w:hint="eastAsia" w:ascii="宋体" w:hAnsi="宋体" w:eastAsia="宋体"/>
              <w:color w:val="auto"/>
              <w:szCs w:val="36"/>
              <w:highlight w:val="none"/>
            </w:rPr>
            <w:t xml:space="preserve">  采购合同</w:t>
          </w:r>
          <w:r>
            <w:rPr>
              <w:color w:val="auto"/>
              <w:highlight w:val="none"/>
            </w:rPr>
            <w:tab/>
          </w:r>
          <w:r>
            <w:rPr>
              <w:color w:val="auto"/>
              <w:highlight w:val="none"/>
            </w:rPr>
            <w:fldChar w:fldCharType="begin"/>
          </w:r>
          <w:r>
            <w:rPr>
              <w:color w:val="auto"/>
              <w:highlight w:val="none"/>
            </w:rPr>
            <w:instrText xml:space="preserve"> PAGEREF _Toc4465 \h </w:instrText>
          </w:r>
          <w:r>
            <w:rPr>
              <w:color w:val="auto"/>
              <w:highlight w:val="none"/>
            </w:rPr>
            <w:fldChar w:fldCharType="separate"/>
          </w:r>
          <w:r>
            <w:rPr>
              <w:color w:val="auto"/>
              <w:highlight w:val="none"/>
            </w:rPr>
            <w:t>16</w:t>
          </w:r>
          <w:r>
            <w:rPr>
              <w:color w:val="auto"/>
              <w:highlight w:val="none"/>
            </w:rPr>
            <w:fldChar w:fldCharType="end"/>
          </w:r>
          <w:r>
            <w:rPr>
              <w:rFonts w:ascii="方正仿宋_GBK" w:hAnsi="Calibri" w:eastAsia="方正仿宋_GBK"/>
              <w:color w:val="auto"/>
              <w:szCs w:val="21"/>
              <w:highlight w:val="none"/>
            </w:rPr>
            <w:fldChar w:fldCharType="end"/>
          </w:r>
        </w:p>
        <w:p>
          <w:pPr>
            <w:pStyle w:val="49"/>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_Toc3662 </w:instrText>
          </w:r>
          <w:r>
            <w:rPr>
              <w:rFonts w:ascii="方正仿宋_GBK" w:hAnsi="Calibri" w:eastAsia="方正仿宋_GBK"/>
              <w:color w:val="auto"/>
              <w:szCs w:val="21"/>
              <w:highlight w:val="none"/>
            </w:rPr>
            <w:fldChar w:fldCharType="separate"/>
          </w:r>
          <w:r>
            <w:rPr>
              <w:rFonts w:hint="eastAsia" w:ascii="宋体" w:hAnsi="宋体" w:eastAsia="宋体"/>
              <w:color w:val="auto"/>
              <w:szCs w:val="36"/>
              <w:highlight w:val="none"/>
            </w:rPr>
            <w:t>第</w:t>
          </w:r>
          <w:r>
            <w:rPr>
              <w:rFonts w:ascii="宋体" w:hAnsi="宋体" w:eastAsia="宋体"/>
              <w:color w:val="auto"/>
              <w:szCs w:val="36"/>
              <w:highlight w:val="none"/>
            </w:rPr>
            <w:t>七</w:t>
          </w:r>
          <w:r>
            <w:rPr>
              <w:rFonts w:hint="eastAsia" w:ascii="宋体" w:hAnsi="宋体" w:eastAsia="宋体"/>
              <w:color w:val="auto"/>
              <w:szCs w:val="36"/>
              <w:highlight w:val="none"/>
            </w:rPr>
            <w:t>篇  竞选文件编制要求</w:t>
          </w:r>
          <w:r>
            <w:rPr>
              <w:color w:val="auto"/>
              <w:highlight w:val="none"/>
            </w:rPr>
            <w:tab/>
          </w:r>
          <w:r>
            <w:rPr>
              <w:color w:val="auto"/>
              <w:highlight w:val="none"/>
            </w:rPr>
            <w:fldChar w:fldCharType="begin"/>
          </w:r>
          <w:r>
            <w:rPr>
              <w:color w:val="auto"/>
              <w:highlight w:val="none"/>
            </w:rPr>
            <w:instrText xml:space="preserve"> PAGEREF _Toc3662 \h </w:instrText>
          </w:r>
          <w:r>
            <w:rPr>
              <w:color w:val="auto"/>
              <w:highlight w:val="none"/>
            </w:rPr>
            <w:fldChar w:fldCharType="separate"/>
          </w:r>
          <w:r>
            <w:rPr>
              <w:color w:val="auto"/>
              <w:highlight w:val="none"/>
            </w:rPr>
            <w:t>17</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_Toc29279 </w:instrText>
          </w:r>
          <w:r>
            <w:rPr>
              <w:rFonts w:ascii="方正仿宋_GBK" w:hAnsi="Calibri" w:eastAsia="方正仿宋_GBK"/>
              <w:color w:val="auto"/>
              <w:szCs w:val="21"/>
              <w:highlight w:val="none"/>
            </w:rPr>
            <w:fldChar w:fldCharType="separate"/>
          </w:r>
          <w:r>
            <w:rPr>
              <w:rFonts w:hint="eastAsia" w:ascii="宋体" w:hAnsi="宋体"/>
              <w:color w:val="auto"/>
              <w:szCs w:val="24"/>
              <w:highlight w:val="none"/>
            </w:rPr>
            <w:t>一</w:t>
          </w:r>
          <w:r>
            <w:rPr>
              <w:rFonts w:ascii="宋体" w:hAnsi="宋体"/>
              <w:color w:val="auto"/>
              <w:szCs w:val="24"/>
              <w:highlight w:val="none"/>
            </w:rPr>
            <w:t>、</w:t>
          </w:r>
          <w:r>
            <w:rPr>
              <w:rFonts w:hint="eastAsia" w:ascii="宋体" w:hAnsi="宋体"/>
              <w:color w:val="auto"/>
              <w:szCs w:val="24"/>
              <w:highlight w:val="none"/>
            </w:rPr>
            <w:t>竞选文件封面</w:t>
          </w:r>
          <w:r>
            <w:rPr>
              <w:color w:val="auto"/>
              <w:highlight w:val="none"/>
            </w:rPr>
            <w:tab/>
          </w:r>
          <w:r>
            <w:rPr>
              <w:color w:val="auto"/>
              <w:highlight w:val="none"/>
            </w:rPr>
            <w:fldChar w:fldCharType="begin"/>
          </w:r>
          <w:r>
            <w:rPr>
              <w:color w:val="auto"/>
              <w:highlight w:val="none"/>
            </w:rPr>
            <w:instrText xml:space="preserve"> PAGEREF _Toc29279 \h </w:instrText>
          </w:r>
          <w:r>
            <w:rPr>
              <w:color w:val="auto"/>
              <w:highlight w:val="none"/>
            </w:rPr>
            <w:fldChar w:fldCharType="separate"/>
          </w:r>
          <w:r>
            <w:rPr>
              <w:color w:val="auto"/>
              <w:highlight w:val="none"/>
            </w:rPr>
            <w:t>18</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_Toc2019 </w:instrText>
          </w:r>
          <w:r>
            <w:rPr>
              <w:rFonts w:ascii="方正仿宋_GBK" w:hAnsi="Calibri" w:eastAsia="方正仿宋_GBK"/>
              <w:color w:val="auto"/>
              <w:szCs w:val="21"/>
              <w:highlight w:val="none"/>
            </w:rPr>
            <w:fldChar w:fldCharType="separate"/>
          </w:r>
          <w:r>
            <w:rPr>
              <w:rFonts w:hint="eastAsia" w:ascii="宋体" w:hAnsi="宋体"/>
              <w:color w:val="auto"/>
              <w:szCs w:val="24"/>
              <w:highlight w:val="none"/>
            </w:rPr>
            <w:t>二、经济部分</w:t>
          </w:r>
          <w:r>
            <w:rPr>
              <w:color w:val="auto"/>
              <w:highlight w:val="none"/>
            </w:rPr>
            <w:tab/>
          </w:r>
          <w:r>
            <w:rPr>
              <w:color w:val="auto"/>
              <w:highlight w:val="none"/>
            </w:rPr>
            <w:fldChar w:fldCharType="begin"/>
          </w:r>
          <w:r>
            <w:rPr>
              <w:color w:val="auto"/>
              <w:highlight w:val="none"/>
            </w:rPr>
            <w:instrText xml:space="preserve"> PAGEREF _Toc2019 \h </w:instrText>
          </w:r>
          <w:r>
            <w:rPr>
              <w:color w:val="auto"/>
              <w:highlight w:val="none"/>
            </w:rPr>
            <w:fldChar w:fldCharType="separate"/>
          </w:r>
          <w:r>
            <w:rPr>
              <w:color w:val="auto"/>
              <w:highlight w:val="none"/>
            </w:rPr>
            <w:t>19</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_Toc19748 </w:instrText>
          </w:r>
          <w:r>
            <w:rPr>
              <w:rFonts w:ascii="方正仿宋_GBK" w:hAnsi="Calibri" w:eastAsia="方正仿宋_GBK"/>
              <w:color w:val="auto"/>
              <w:szCs w:val="21"/>
              <w:highlight w:val="none"/>
            </w:rPr>
            <w:fldChar w:fldCharType="separate"/>
          </w:r>
          <w:r>
            <w:rPr>
              <w:rFonts w:hint="eastAsia" w:ascii="宋体" w:hAnsi="宋体"/>
              <w:color w:val="auto"/>
              <w:szCs w:val="24"/>
              <w:highlight w:val="none"/>
            </w:rPr>
            <w:t>三、服务部分</w:t>
          </w:r>
          <w:r>
            <w:rPr>
              <w:color w:val="auto"/>
              <w:highlight w:val="none"/>
            </w:rPr>
            <w:tab/>
          </w:r>
          <w:r>
            <w:rPr>
              <w:color w:val="auto"/>
              <w:highlight w:val="none"/>
            </w:rPr>
            <w:fldChar w:fldCharType="begin"/>
          </w:r>
          <w:r>
            <w:rPr>
              <w:color w:val="auto"/>
              <w:highlight w:val="none"/>
            </w:rPr>
            <w:instrText xml:space="preserve"> PAGEREF _Toc19748 \h </w:instrText>
          </w:r>
          <w:r>
            <w:rPr>
              <w:color w:val="auto"/>
              <w:highlight w:val="none"/>
            </w:rPr>
            <w:fldChar w:fldCharType="separate"/>
          </w:r>
          <w:r>
            <w:rPr>
              <w:color w:val="auto"/>
              <w:highlight w:val="none"/>
            </w:rPr>
            <w:t>21</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_Toc19237 </w:instrText>
          </w:r>
          <w:r>
            <w:rPr>
              <w:rFonts w:ascii="方正仿宋_GBK" w:hAnsi="Calibri" w:eastAsia="方正仿宋_GBK"/>
              <w:color w:val="auto"/>
              <w:szCs w:val="21"/>
              <w:highlight w:val="none"/>
            </w:rPr>
            <w:fldChar w:fldCharType="separate"/>
          </w:r>
          <w:r>
            <w:rPr>
              <w:rFonts w:hint="eastAsia" w:ascii="宋体" w:hAnsi="宋体"/>
              <w:color w:val="auto"/>
              <w:szCs w:val="24"/>
              <w:highlight w:val="none"/>
            </w:rPr>
            <w:t>四、商务部分</w:t>
          </w:r>
          <w:r>
            <w:rPr>
              <w:color w:val="auto"/>
              <w:highlight w:val="none"/>
            </w:rPr>
            <w:tab/>
          </w:r>
          <w:r>
            <w:rPr>
              <w:color w:val="auto"/>
              <w:highlight w:val="none"/>
            </w:rPr>
            <w:fldChar w:fldCharType="begin"/>
          </w:r>
          <w:r>
            <w:rPr>
              <w:color w:val="auto"/>
              <w:highlight w:val="none"/>
            </w:rPr>
            <w:instrText xml:space="preserve"> PAGEREF _Toc19237 \h </w:instrText>
          </w:r>
          <w:r>
            <w:rPr>
              <w:color w:val="auto"/>
              <w:highlight w:val="none"/>
            </w:rPr>
            <w:fldChar w:fldCharType="separate"/>
          </w:r>
          <w:r>
            <w:rPr>
              <w:color w:val="auto"/>
              <w:highlight w:val="none"/>
            </w:rPr>
            <w:t>23</w:t>
          </w:r>
          <w:r>
            <w:rPr>
              <w:color w:val="auto"/>
              <w:highlight w:val="none"/>
            </w:rPr>
            <w:fldChar w:fldCharType="end"/>
          </w:r>
          <w:r>
            <w:rPr>
              <w:rFonts w:ascii="方正仿宋_GBK" w:hAnsi="Calibri" w:eastAsia="方正仿宋_GBK"/>
              <w:color w:val="auto"/>
              <w:szCs w:val="21"/>
              <w:highlight w:val="none"/>
            </w:rPr>
            <w:fldChar w:fldCharType="end"/>
          </w:r>
        </w:p>
        <w:p>
          <w:pPr>
            <w:pStyle w:val="32"/>
            <w:tabs>
              <w:tab w:val="right" w:leader="dot" w:pos="10207"/>
            </w:tabs>
            <w:rPr>
              <w:color w:val="auto"/>
              <w:highlight w:val="none"/>
            </w:rPr>
          </w:pPr>
          <w:r>
            <w:rPr>
              <w:rFonts w:ascii="方正仿宋_GBK" w:hAnsi="Calibri" w:eastAsia="方正仿宋_GBK"/>
              <w:color w:val="auto"/>
              <w:szCs w:val="21"/>
              <w:highlight w:val="none"/>
            </w:rPr>
            <w:fldChar w:fldCharType="begin"/>
          </w:r>
          <w:r>
            <w:rPr>
              <w:rFonts w:ascii="方正仿宋_GBK" w:hAnsi="Calibri" w:eastAsia="方正仿宋_GBK"/>
              <w:color w:val="auto"/>
              <w:szCs w:val="21"/>
              <w:highlight w:val="none"/>
            </w:rPr>
            <w:instrText xml:space="preserve"> HYPERLINK \l _Toc2625 </w:instrText>
          </w:r>
          <w:r>
            <w:rPr>
              <w:rFonts w:ascii="方正仿宋_GBK" w:hAnsi="Calibri" w:eastAsia="方正仿宋_GBK"/>
              <w:color w:val="auto"/>
              <w:szCs w:val="21"/>
              <w:highlight w:val="none"/>
            </w:rPr>
            <w:fldChar w:fldCharType="separate"/>
          </w:r>
          <w:r>
            <w:rPr>
              <w:rFonts w:hint="eastAsia" w:ascii="宋体" w:hAnsi="宋体"/>
              <w:color w:val="auto"/>
              <w:szCs w:val="24"/>
              <w:highlight w:val="none"/>
            </w:rPr>
            <w:t>五、资格条件及其他</w:t>
          </w:r>
          <w:r>
            <w:rPr>
              <w:color w:val="auto"/>
              <w:highlight w:val="none"/>
            </w:rPr>
            <w:tab/>
          </w:r>
          <w:r>
            <w:rPr>
              <w:color w:val="auto"/>
              <w:highlight w:val="none"/>
            </w:rPr>
            <w:fldChar w:fldCharType="begin"/>
          </w:r>
          <w:r>
            <w:rPr>
              <w:color w:val="auto"/>
              <w:highlight w:val="none"/>
            </w:rPr>
            <w:instrText xml:space="preserve"> PAGEREF _Toc2625 \h </w:instrText>
          </w:r>
          <w:r>
            <w:rPr>
              <w:color w:val="auto"/>
              <w:highlight w:val="none"/>
            </w:rPr>
            <w:fldChar w:fldCharType="separate"/>
          </w:r>
          <w:r>
            <w:rPr>
              <w:color w:val="auto"/>
              <w:highlight w:val="none"/>
            </w:rPr>
            <w:t>29</w:t>
          </w:r>
          <w:r>
            <w:rPr>
              <w:color w:val="auto"/>
              <w:highlight w:val="none"/>
            </w:rPr>
            <w:fldChar w:fldCharType="end"/>
          </w:r>
          <w:r>
            <w:rPr>
              <w:rFonts w:ascii="方正仿宋_GBK" w:hAnsi="Calibri" w:eastAsia="方正仿宋_GBK"/>
              <w:color w:val="auto"/>
              <w:szCs w:val="21"/>
              <w:highlight w:val="none"/>
            </w:rPr>
            <w:fldChar w:fldCharType="end"/>
          </w:r>
        </w:p>
        <w:p>
          <w:pPr>
            <w:tabs>
              <w:tab w:val="right" w:leader="dot" w:pos="9000"/>
            </w:tabs>
            <w:spacing w:line="340" w:lineRule="exact"/>
            <w:ind w:left="0" w:leftChars="0"/>
            <w:jc w:val="center"/>
            <w:rPr>
              <w:rFonts w:ascii="方正仿宋_GBK" w:hAnsi="Calibri" w:eastAsia="方正仿宋_GBK"/>
              <w:color w:val="auto"/>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ascii="方正仿宋_GBK" w:hAnsi="Calibri" w:eastAsia="方正仿宋_GBK"/>
              <w:color w:val="auto"/>
              <w:szCs w:val="21"/>
              <w:highlight w:val="none"/>
            </w:rPr>
            <w:fldChar w:fldCharType="end"/>
          </w:r>
        </w:p>
      </w:sdtContent>
    </w:sdt>
    <w:p>
      <w:pPr>
        <w:pStyle w:val="5"/>
        <w:spacing w:line="360" w:lineRule="auto"/>
        <w:jc w:val="center"/>
        <w:rPr>
          <w:rFonts w:ascii="宋体" w:hAnsi="宋体" w:eastAsia="宋体"/>
          <w:color w:val="auto"/>
          <w:sz w:val="36"/>
          <w:szCs w:val="36"/>
          <w:highlight w:val="none"/>
        </w:rPr>
      </w:pPr>
      <w:bookmarkStart w:id="6" w:name="_Toc17194"/>
      <w:bookmarkStart w:id="7" w:name="_Toc12789052"/>
      <w:bookmarkStart w:id="8" w:name="_Toc11641050"/>
      <w:bookmarkStart w:id="9" w:name="_Toc3422"/>
      <w:r>
        <w:rPr>
          <w:rFonts w:hint="eastAsia" w:ascii="宋体" w:hAnsi="宋体" w:eastAsia="宋体"/>
          <w:color w:val="auto"/>
          <w:sz w:val="36"/>
          <w:szCs w:val="36"/>
          <w:highlight w:val="none"/>
        </w:rPr>
        <w:t>第一篇  竞争性比选邀请书</w:t>
      </w:r>
      <w:bookmarkEnd w:id="6"/>
      <w:bookmarkEnd w:id="7"/>
      <w:bookmarkEnd w:id="8"/>
      <w:bookmarkEnd w:id="9"/>
    </w:p>
    <w:p>
      <w:pPr>
        <w:snapToGrid w:val="0"/>
        <w:spacing w:line="360" w:lineRule="auto"/>
        <w:ind w:firstLine="400" w:firstLineChars="200"/>
        <w:rPr>
          <w:rFonts w:ascii="宋体" w:hAnsi="宋体"/>
          <w:color w:val="auto"/>
          <w:szCs w:val="28"/>
          <w:highlight w:val="none"/>
        </w:rPr>
      </w:pPr>
      <w:bookmarkStart w:id="10" w:name="_Toc317775175"/>
      <w:bookmarkStart w:id="11" w:name="_Toc313893526"/>
      <w:r>
        <w:rPr>
          <w:rFonts w:hint="eastAsia" w:ascii="宋体" w:hAnsi="宋体"/>
          <w:color w:val="auto"/>
          <w:szCs w:val="28"/>
          <w:highlight w:val="none"/>
        </w:rPr>
        <w:t>瀚景项目管理有限公司重庆分公司（以下简称：比选代理机构）受重庆市制造业人才服务中心（以下简称：比选人）的委托，对“</w:t>
      </w:r>
      <w:r>
        <w:rPr>
          <w:rFonts w:hint="eastAsia" w:ascii="宋体" w:hAnsi="宋体"/>
          <w:color w:val="auto"/>
          <w:szCs w:val="28"/>
          <w:highlight w:val="none"/>
          <w:lang w:eastAsia="zh-CN"/>
        </w:rPr>
        <w:t>重庆制造业人才服务中心线上综合服务平台开发服务</w:t>
      </w:r>
      <w:r>
        <w:rPr>
          <w:rFonts w:hint="eastAsia" w:ascii="宋体" w:hAnsi="宋体"/>
          <w:color w:val="auto"/>
          <w:szCs w:val="28"/>
          <w:highlight w:val="none"/>
        </w:rPr>
        <w:t>”进行竞争性比选。欢迎有资格的竞选人前来参加比选。</w:t>
      </w:r>
    </w:p>
    <w:p>
      <w:pPr>
        <w:pStyle w:val="6"/>
        <w:spacing w:before="0" w:after="0" w:line="360" w:lineRule="auto"/>
        <w:rPr>
          <w:rFonts w:ascii="宋体" w:hAnsi="宋体"/>
          <w:color w:val="auto"/>
          <w:sz w:val="28"/>
          <w:szCs w:val="28"/>
          <w:highlight w:val="none"/>
        </w:rPr>
      </w:pPr>
      <w:bookmarkStart w:id="12" w:name="_Toc31373"/>
      <w:bookmarkStart w:id="13" w:name="_Toc14273"/>
      <w:r>
        <w:rPr>
          <w:rFonts w:hint="eastAsia" w:ascii="宋体" w:hAnsi="宋体"/>
          <w:color w:val="auto"/>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noWrap/>
            <w:vAlign w:val="center"/>
          </w:tcPr>
          <w:p>
            <w:pPr>
              <w:jc w:val="center"/>
              <w:rPr>
                <w:rFonts w:ascii="宋体" w:hAnsi="宋体"/>
                <w:b/>
                <w:color w:val="auto"/>
                <w:szCs w:val="28"/>
                <w:highlight w:val="none"/>
              </w:rPr>
            </w:pPr>
            <w:r>
              <w:rPr>
                <w:rFonts w:hint="eastAsia" w:ascii="宋体" w:hAnsi="宋体"/>
                <w:b/>
                <w:color w:val="auto"/>
                <w:szCs w:val="28"/>
                <w:highlight w:val="none"/>
              </w:rPr>
              <w:t>比选内容</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auto"/>
                <w:szCs w:val="28"/>
                <w:highlight w:val="none"/>
              </w:rPr>
            </w:pPr>
            <w:r>
              <w:rPr>
                <w:rFonts w:hint="eastAsia" w:ascii="宋体" w:hAnsi="宋体"/>
                <w:b/>
                <w:color w:val="auto"/>
                <w:szCs w:val="28"/>
                <w:highlight w:val="none"/>
              </w:rPr>
              <w:t>最高限价</w:t>
            </w:r>
          </w:p>
          <w:p>
            <w:pPr>
              <w:widowControl/>
              <w:jc w:val="center"/>
              <w:rPr>
                <w:rFonts w:ascii="宋体" w:hAnsi="宋体"/>
                <w:b/>
                <w:color w:val="auto"/>
                <w:szCs w:val="28"/>
                <w:highlight w:val="none"/>
              </w:rPr>
            </w:pP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auto"/>
                <w:szCs w:val="28"/>
                <w:highlight w:val="none"/>
              </w:rPr>
            </w:pPr>
            <w:r>
              <w:rPr>
                <w:rFonts w:hint="eastAsia" w:ascii="宋体" w:hAnsi="宋体"/>
                <w:b/>
                <w:color w:val="auto"/>
                <w:szCs w:val="28"/>
                <w:highlight w:val="none"/>
              </w:rPr>
              <w:t>比选保证金</w:t>
            </w:r>
          </w:p>
          <w:p>
            <w:pPr>
              <w:widowControl/>
              <w:jc w:val="center"/>
              <w:rPr>
                <w:rFonts w:ascii="宋体" w:hAnsi="宋体"/>
                <w:b/>
                <w:color w:val="auto"/>
                <w:szCs w:val="28"/>
                <w:highlight w:val="none"/>
              </w:rPr>
            </w:pP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pPr>
              <w:jc w:val="center"/>
              <w:rPr>
                <w:rFonts w:ascii="宋体" w:hAnsi="宋体"/>
                <w:b/>
                <w:color w:val="auto"/>
                <w:szCs w:val="28"/>
                <w:highlight w:val="none"/>
              </w:rPr>
            </w:pPr>
            <w:r>
              <w:rPr>
                <w:rFonts w:hint="eastAsia" w:ascii="宋体" w:hAnsi="宋体"/>
                <w:b/>
                <w:color w:val="auto"/>
                <w:szCs w:val="28"/>
                <w:highlight w:val="none"/>
              </w:rPr>
              <w:t>中选人</w:t>
            </w:r>
          </w:p>
          <w:p>
            <w:pPr>
              <w:jc w:val="center"/>
              <w:rPr>
                <w:rFonts w:ascii="宋体" w:hAnsi="宋体"/>
                <w:b/>
                <w:color w:val="auto"/>
                <w:szCs w:val="28"/>
                <w:highlight w:val="none"/>
              </w:rPr>
            </w:pPr>
            <w:r>
              <w:rPr>
                <w:rFonts w:hint="eastAsia" w:ascii="宋体" w:hAnsi="宋体"/>
                <w:b/>
                <w:color w:val="auto"/>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8"/>
                <w:highlight w:val="none"/>
                <w:lang w:eastAsia="zh-CN"/>
              </w:rPr>
            </w:pPr>
            <w:r>
              <w:rPr>
                <w:rFonts w:hint="eastAsia" w:ascii="宋体" w:hAnsi="宋体"/>
                <w:color w:val="auto"/>
                <w:szCs w:val="28"/>
                <w:highlight w:val="none"/>
                <w:lang w:eastAsia="zh-CN"/>
              </w:rPr>
              <w:t>重庆制造业人才服务中心线上综合服务平台开发服务</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8"/>
                <w:highlight w:val="none"/>
              </w:rPr>
            </w:pPr>
            <w:r>
              <w:rPr>
                <w:rFonts w:hint="eastAsia" w:ascii="宋体" w:hAnsi="宋体" w:cs="宋体"/>
                <w:color w:val="auto"/>
                <w:kern w:val="0"/>
                <w:szCs w:val="28"/>
                <w:highlight w:val="none"/>
                <w:lang w:val="en-US" w:eastAsia="zh-CN"/>
              </w:rPr>
              <w:t>12</w:t>
            </w:r>
            <w:r>
              <w:rPr>
                <w:rFonts w:ascii="宋体" w:hAnsi="宋体" w:cs="宋体"/>
                <w:color w:val="auto"/>
                <w:kern w:val="0"/>
                <w:szCs w:val="28"/>
                <w:highlight w:val="none"/>
              </w:rPr>
              <w:t>0000</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Cs w:val="28"/>
                <w:highlight w:val="none"/>
                <w:lang w:val="en-US" w:eastAsia="zh-CN"/>
              </w:rPr>
            </w:pPr>
            <w:r>
              <w:rPr>
                <w:rFonts w:hint="eastAsia" w:ascii="宋体" w:hAnsi="宋体" w:cs="宋体"/>
                <w:color w:val="auto"/>
                <w:kern w:val="0"/>
                <w:szCs w:val="28"/>
                <w:highlight w:val="none"/>
                <w:lang w:val="en-US" w:eastAsia="zh-CN"/>
              </w:rPr>
              <w:t>2000</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8"/>
                <w:highlight w:val="none"/>
              </w:rPr>
            </w:pPr>
            <w:r>
              <w:rPr>
                <w:rFonts w:hint="eastAsia" w:ascii="宋体" w:hAnsi="宋体" w:cs="宋体"/>
                <w:color w:val="auto"/>
                <w:kern w:val="0"/>
                <w:szCs w:val="28"/>
                <w:highlight w:val="none"/>
              </w:rPr>
              <w:t>1名</w:t>
            </w:r>
          </w:p>
        </w:tc>
      </w:tr>
    </w:tbl>
    <w:p>
      <w:pPr>
        <w:pStyle w:val="6"/>
        <w:spacing w:before="0" w:after="0" w:line="360" w:lineRule="auto"/>
        <w:rPr>
          <w:rFonts w:ascii="宋体" w:hAnsi="宋体"/>
          <w:color w:val="auto"/>
          <w:sz w:val="28"/>
          <w:szCs w:val="28"/>
          <w:highlight w:val="none"/>
        </w:rPr>
      </w:pPr>
      <w:bookmarkStart w:id="14" w:name="_Toc24852"/>
      <w:bookmarkStart w:id="15" w:name="_Toc10325"/>
      <w:bookmarkStart w:id="16" w:name="_Toc373860293"/>
      <w:bookmarkStart w:id="17" w:name="_Toc317775178"/>
      <w:r>
        <w:rPr>
          <w:rFonts w:hint="eastAsia" w:ascii="宋体" w:hAnsi="宋体"/>
          <w:color w:val="auto"/>
          <w:sz w:val="28"/>
          <w:szCs w:val="28"/>
          <w:highlight w:val="none"/>
        </w:rPr>
        <w:t>二、资金来源</w:t>
      </w:r>
      <w:bookmarkEnd w:id="14"/>
      <w:bookmarkEnd w:id="15"/>
    </w:p>
    <w:p>
      <w:pPr>
        <w:spacing w:line="360" w:lineRule="auto"/>
        <w:ind w:firstLine="400" w:firstLineChars="200"/>
        <w:rPr>
          <w:rFonts w:ascii="宋体" w:hAnsi="宋体"/>
          <w:color w:val="auto"/>
          <w:szCs w:val="28"/>
          <w:highlight w:val="none"/>
        </w:rPr>
      </w:pPr>
      <w:r>
        <w:rPr>
          <w:rFonts w:hint="eastAsia" w:ascii="宋体" w:hAnsi="宋体" w:cs="仿宋"/>
          <w:color w:val="auto"/>
          <w:szCs w:val="28"/>
          <w:highlight w:val="none"/>
        </w:rPr>
        <w:t>业主自筹。</w:t>
      </w:r>
    </w:p>
    <w:p>
      <w:pPr>
        <w:pStyle w:val="6"/>
        <w:spacing w:before="0" w:after="0" w:line="360" w:lineRule="auto"/>
        <w:rPr>
          <w:rFonts w:ascii="宋体" w:hAnsi="宋体"/>
          <w:color w:val="auto"/>
          <w:sz w:val="28"/>
          <w:szCs w:val="28"/>
          <w:highlight w:val="none"/>
        </w:rPr>
      </w:pPr>
      <w:bookmarkStart w:id="18" w:name="_Toc14943"/>
      <w:bookmarkStart w:id="19" w:name="_Toc12558"/>
      <w:r>
        <w:rPr>
          <w:rFonts w:hint="eastAsia" w:ascii="宋体" w:hAnsi="宋体"/>
          <w:color w:val="auto"/>
          <w:sz w:val="28"/>
          <w:szCs w:val="28"/>
          <w:highlight w:val="none"/>
        </w:rPr>
        <w:t>三、竞选人</w:t>
      </w:r>
      <w:r>
        <w:rPr>
          <w:rFonts w:ascii="宋体" w:hAnsi="宋体"/>
          <w:color w:val="auto"/>
          <w:sz w:val="28"/>
          <w:szCs w:val="28"/>
          <w:highlight w:val="none"/>
        </w:rPr>
        <w:t>的</w:t>
      </w:r>
      <w:r>
        <w:rPr>
          <w:rFonts w:hint="eastAsia" w:ascii="宋体" w:hAnsi="宋体"/>
          <w:color w:val="auto"/>
          <w:sz w:val="28"/>
          <w:szCs w:val="28"/>
          <w:highlight w:val="none"/>
        </w:rPr>
        <w:t>资格条</w:t>
      </w:r>
      <w:r>
        <w:rPr>
          <w:rFonts w:ascii="宋体" w:hAnsi="宋体"/>
          <w:color w:val="auto"/>
          <w:sz w:val="28"/>
          <w:szCs w:val="28"/>
          <w:highlight w:val="none"/>
        </w:rPr>
        <w:t>件</w:t>
      </w:r>
      <w:bookmarkEnd w:id="18"/>
      <w:bookmarkEnd w:id="19"/>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竞选人需满足以下基本资格条件。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（一）基本资格条件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1．具有独立承担民事责任的能力；</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2．具有良好的商业信誉和健全的财务会计制度；</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3．具有履行合同所必需的设备和专业技术能力；</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4．有依法缴纳税收和社会保障资金的良好记录；</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5．参加比选前三年内，在经营活动中没有重大违法记录；</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6．法律、行政法规规定的其他条件。</w:t>
      </w:r>
    </w:p>
    <w:p>
      <w:pPr>
        <w:pStyle w:val="6"/>
        <w:spacing w:before="0" w:after="0" w:line="360" w:lineRule="auto"/>
        <w:rPr>
          <w:rFonts w:ascii="宋体" w:hAnsi="宋体"/>
          <w:color w:val="auto"/>
          <w:sz w:val="28"/>
          <w:szCs w:val="28"/>
          <w:highlight w:val="none"/>
        </w:rPr>
      </w:pPr>
      <w:bookmarkStart w:id="20" w:name="_Toc19063"/>
      <w:bookmarkStart w:id="21" w:name="_Toc12044"/>
      <w:r>
        <w:rPr>
          <w:rFonts w:hint="eastAsia" w:ascii="宋体" w:hAnsi="宋体"/>
          <w:color w:val="auto"/>
          <w:sz w:val="28"/>
          <w:szCs w:val="28"/>
          <w:highlight w:val="none"/>
        </w:rPr>
        <w:t>四、比选的有关说明</w:t>
      </w:r>
      <w:bookmarkEnd w:id="16"/>
      <w:bookmarkEnd w:id="20"/>
      <w:bookmarkEnd w:id="21"/>
    </w:p>
    <w:p>
      <w:pPr>
        <w:spacing w:line="360" w:lineRule="auto"/>
        <w:ind w:firstLine="400" w:firstLineChars="200"/>
        <w:rPr>
          <w:rFonts w:ascii="宋体" w:hAnsi="宋体"/>
          <w:color w:val="auto"/>
          <w:szCs w:val="28"/>
          <w:highlight w:val="none"/>
        </w:rPr>
      </w:pPr>
      <w:bookmarkStart w:id="22" w:name="_Toc373860294"/>
      <w:r>
        <w:rPr>
          <w:rFonts w:hint="eastAsia" w:ascii="宋体" w:hAnsi="宋体"/>
          <w:color w:val="auto"/>
          <w:szCs w:val="28"/>
          <w:highlight w:val="none"/>
        </w:rPr>
        <w:t>（一）凡有意参加比选的竞选人，请在“重庆市制造业人才服务中心”官方网站（www.cidcchina.com）平台下载本项目竞争性比选文件以及补遗等比选前公布的所有</w:t>
      </w:r>
      <w:bookmarkStart w:id="187" w:name="_GoBack"/>
      <w:bookmarkEnd w:id="187"/>
      <w:r>
        <w:rPr>
          <w:rFonts w:hint="eastAsia" w:ascii="宋体" w:hAnsi="宋体"/>
          <w:color w:val="auto"/>
          <w:szCs w:val="28"/>
          <w:highlight w:val="none"/>
        </w:rPr>
        <w:t>项目资料，无论竞选人下载与否，均视为已知晓所有比选实质性要求内容。</w:t>
      </w:r>
    </w:p>
    <w:p>
      <w:pPr>
        <w:spacing w:line="360" w:lineRule="auto"/>
        <w:ind w:firstLine="404" w:firstLineChars="202"/>
        <w:rPr>
          <w:rFonts w:ascii="宋体" w:hAnsi="宋体" w:eastAsia="MS Mincho"/>
          <w:color w:val="auto"/>
          <w:szCs w:val="28"/>
          <w:highlight w:val="none"/>
          <w:lang w:eastAsia="ja-JP"/>
        </w:rPr>
      </w:pPr>
      <w:r>
        <w:rPr>
          <w:rFonts w:hint="eastAsia" w:ascii="宋体" w:hAnsi="宋体"/>
          <w:color w:val="auto"/>
          <w:szCs w:val="28"/>
          <w:highlight w:val="none"/>
        </w:rPr>
        <w:t>（二）报名期：</w:t>
      </w:r>
      <w:r>
        <w:rPr>
          <w:rFonts w:hint="eastAsia" w:ascii="宋体" w:hAnsi="宋体"/>
          <w:color w:val="auto"/>
          <w:szCs w:val="28"/>
          <w:highlight w:val="none"/>
          <w:lang w:eastAsia="zh-CN"/>
        </w:rPr>
        <w:t>2023年</w:t>
      </w:r>
      <w:r>
        <w:rPr>
          <w:rFonts w:hint="eastAsia" w:ascii="宋体" w:hAnsi="宋体"/>
          <w:color w:val="auto"/>
          <w:szCs w:val="28"/>
          <w:highlight w:val="none"/>
          <w:lang w:val="en-US" w:eastAsia="zh-CN"/>
        </w:rPr>
        <w:t>5</w:t>
      </w:r>
      <w:r>
        <w:rPr>
          <w:rFonts w:hint="eastAsia" w:ascii="宋体" w:hAnsi="宋体"/>
          <w:color w:val="auto"/>
          <w:szCs w:val="28"/>
          <w:highlight w:val="none"/>
        </w:rPr>
        <w:t>月</w:t>
      </w:r>
      <w:r>
        <w:rPr>
          <w:rFonts w:hint="eastAsia" w:ascii="宋体" w:hAnsi="宋体"/>
          <w:color w:val="auto"/>
          <w:szCs w:val="28"/>
          <w:highlight w:val="none"/>
          <w:lang w:val="en-US" w:eastAsia="zh-CN"/>
        </w:rPr>
        <w:t>9</w:t>
      </w:r>
      <w:r>
        <w:rPr>
          <w:rFonts w:hint="eastAsia" w:ascii="宋体" w:hAnsi="宋体"/>
          <w:color w:val="auto"/>
          <w:szCs w:val="28"/>
          <w:highlight w:val="none"/>
        </w:rPr>
        <w:t>日-</w:t>
      </w:r>
      <w:r>
        <w:rPr>
          <w:rFonts w:ascii="宋体" w:hAnsi="宋体"/>
          <w:color w:val="auto"/>
          <w:szCs w:val="28"/>
          <w:highlight w:val="none"/>
        </w:rPr>
        <w:t>-</w:t>
      </w:r>
      <w:r>
        <w:rPr>
          <w:rFonts w:hint="eastAsia" w:ascii="宋体" w:hAnsi="宋体"/>
          <w:color w:val="auto"/>
          <w:szCs w:val="28"/>
          <w:highlight w:val="none"/>
          <w:lang w:eastAsia="zh-CN"/>
        </w:rPr>
        <w:t>2023年</w:t>
      </w:r>
      <w:r>
        <w:rPr>
          <w:rFonts w:hint="eastAsia" w:ascii="宋体" w:hAnsi="宋体"/>
          <w:color w:val="auto"/>
          <w:szCs w:val="28"/>
          <w:highlight w:val="none"/>
          <w:lang w:val="en-US" w:eastAsia="zh-CN"/>
        </w:rPr>
        <w:t>5</w:t>
      </w:r>
      <w:r>
        <w:rPr>
          <w:rFonts w:hint="eastAsia" w:ascii="宋体" w:hAnsi="宋体"/>
          <w:color w:val="auto"/>
          <w:szCs w:val="28"/>
          <w:highlight w:val="none"/>
        </w:rPr>
        <w:t>月</w:t>
      </w:r>
      <w:r>
        <w:rPr>
          <w:rFonts w:hint="eastAsia" w:ascii="宋体" w:hAnsi="宋体"/>
          <w:color w:val="auto"/>
          <w:szCs w:val="28"/>
          <w:highlight w:val="none"/>
          <w:lang w:val="en-US" w:eastAsia="zh-CN"/>
        </w:rPr>
        <w:t>12</w:t>
      </w:r>
      <w:r>
        <w:rPr>
          <w:rFonts w:hint="eastAsia" w:ascii="宋体" w:hAnsi="宋体"/>
          <w:color w:val="auto"/>
          <w:szCs w:val="28"/>
          <w:highlight w:val="none"/>
        </w:rPr>
        <w:t>日北京时间9:00至12:00，14:00至17:00。</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（三）报名方式：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1.售价：人民币 300 元/份（售后不退）</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2.比选文件购买方式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w:t>
      </w:r>
      <w:r>
        <w:rPr>
          <w:rFonts w:hint="eastAsia" w:ascii="宋体" w:hAnsi="宋体"/>
          <w:color w:val="auto"/>
          <w:szCs w:val="28"/>
          <w:highlight w:val="none"/>
          <w:lang w:val="en-US" w:eastAsia="zh-CN"/>
        </w:rPr>
        <w:t>1337576162</w:t>
      </w:r>
      <w:r>
        <w:rPr>
          <w:rFonts w:hint="eastAsia" w:ascii="宋体" w:hAnsi="宋体"/>
          <w:color w:val="auto"/>
          <w:szCs w:val="28"/>
          <w:highlight w:val="none"/>
        </w:rPr>
        <w:t>@qq.com。</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户    名：瀚景项目管理有限公司重庆分公司</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账    号：123908446310202</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开户银行：招商银行重庆分行西部科学城支行</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4.在比选文件发售期内购买了比选文件并按时递交竞选文件的竞选人，其竞选文件才被接收。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 xml:space="preserve">（四）递交竞选文件地点：重庆市制造业人才服务中心 521 会议室（重庆市渝中区上清寺路1号附1号中昂·世纪环岛5层21号） </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（五）提交竞选文件开始时间：</w:t>
      </w:r>
      <w:r>
        <w:rPr>
          <w:rFonts w:hint="eastAsia" w:ascii="宋体" w:hAnsi="宋体"/>
          <w:color w:val="auto"/>
          <w:szCs w:val="28"/>
          <w:highlight w:val="none"/>
          <w:lang w:eastAsia="zh-CN"/>
        </w:rPr>
        <w:t>2023年</w:t>
      </w:r>
      <w:r>
        <w:rPr>
          <w:rFonts w:hint="eastAsia" w:ascii="宋体" w:hAnsi="宋体"/>
          <w:color w:val="auto"/>
          <w:szCs w:val="28"/>
          <w:highlight w:val="none"/>
          <w:lang w:val="en-US" w:eastAsia="zh-CN"/>
        </w:rPr>
        <w:t>5</w:t>
      </w:r>
      <w:r>
        <w:rPr>
          <w:rFonts w:hint="eastAsia" w:ascii="宋体" w:hAnsi="宋体"/>
          <w:color w:val="auto"/>
          <w:szCs w:val="28"/>
          <w:highlight w:val="none"/>
        </w:rPr>
        <w:t>月</w:t>
      </w:r>
      <w:r>
        <w:rPr>
          <w:rFonts w:hint="eastAsia" w:ascii="宋体" w:hAnsi="宋体"/>
          <w:color w:val="auto"/>
          <w:szCs w:val="28"/>
          <w:highlight w:val="none"/>
          <w:lang w:val="en-US" w:eastAsia="zh-CN"/>
        </w:rPr>
        <w:t>15</w:t>
      </w:r>
      <w:r>
        <w:rPr>
          <w:rFonts w:hint="eastAsia" w:ascii="宋体" w:hAnsi="宋体"/>
          <w:color w:val="auto"/>
          <w:szCs w:val="28"/>
          <w:highlight w:val="none"/>
        </w:rPr>
        <w:t>日北京时间14:00</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（六）提交竞选文件截止时间：</w:t>
      </w:r>
      <w:r>
        <w:rPr>
          <w:rFonts w:hint="eastAsia" w:ascii="宋体" w:hAnsi="宋体"/>
          <w:color w:val="auto"/>
          <w:szCs w:val="28"/>
          <w:highlight w:val="none"/>
          <w:lang w:eastAsia="zh-CN"/>
        </w:rPr>
        <w:t>2023年</w:t>
      </w:r>
      <w:r>
        <w:rPr>
          <w:rFonts w:hint="eastAsia" w:ascii="宋体" w:hAnsi="宋体"/>
          <w:color w:val="auto"/>
          <w:szCs w:val="28"/>
          <w:highlight w:val="none"/>
          <w:lang w:val="en-US" w:eastAsia="zh-CN"/>
        </w:rPr>
        <w:t>5</w:t>
      </w:r>
      <w:r>
        <w:rPr>
          <w:rFonts w:hint="eastAsia" w:ascii="宋体" w:hAnsi="宋体"/>
          <w:color w:val="auto"/>
          <w:szCs w:val="28"/>
          <w:highlight w:val="none"/>
        </w:rPr>
        <w:t>月</w:t>
      </w:r>
      <w:r>
        <w:rPr>
          <w:rFonts w:hint="eastAsia" w:ascii="宋体" w:hAnsi="宋体"/>
          <w:color w:val="auto"/>
          <w:szCs w:val="28"/>
          <w:highlight w:val="none"/>
          <w:lang w:val="en-US" w:eastAsia="zh-CN"/>
        </w:rPr>
        <w:t>15</w:t>
      </w:r>
      <w:r>
        <w:rPr>
          <w:rFonts w:hint="eastAsia" w:ascii="宋体" w:hAnsi="宋体"/>
          <w:color w:val="auto"/>
          <w:szCs w:val="28"/>
          <w:highlight w:val="none"/>
        </w:rPr>
        <w:t xml:space="preserve">日北京时间14:30 </w:t>
      </w:r>
    </w:p>
    <w:p>
      <w:pPr>
        <w:spacing w:line="360" w:lineRule="auto"/>
        <w:ind w:firstLine="400" w:firstLineChars="200"/>
        <w:rPr>
          <w:rFonts w:ascii="宋体" w:hAnsi="宋体"/>
          <w:color w:val="auto"/>
          <w:sz w:val="28"/>
          <w:szCs w:val="28"/>
          <w:highlight w:val="none"/>
        </w:rPr>
      </w:pPr>
      <w:r>
        <w:rPr>
          <w:rFonts w:hint="eastAsia" w:ascii="宋体" w:hAnsi="宋体"/>
          <w:color w:val="auto"/>
          <w:szCs w:val="28"/>
          <w:highlight w:val="none"/>
        </w:rPr>
        <w:t>（七）比选开始时间：</w:t>
      </w:r>
      <w:r>
        <w:rPr>
          <w:rFonts w:hint="eastAsia" w:ascii="宋体" w:hAnsi="宋体"/>
          <w:color w:val="auto"/>
          <w:szCs w:val="28"/>
          <w:highlight w:val="none"/>
          <w:lang w:eastAsia="zh-CN"/>
        </w:rPr>
        <w:t>2023年</w:t>
      </w:r>
      <w:r>
        <w:rPr>
          <w:rFonts w:hint="eastAsia" w:ascii="宋体" w:hAnsi="宋体"/>
          <w:color w:val="auto"/>
          <w:szCs w:val="28"/>
          <w:highlight w:val="none"/>
          <w:lang w:val="en-US" w:eastAsia="zh-CN"/>
        </w:rPr>
        <w:t>5</w:t>
      </w:r>
      <w:r>
        <w:rPr>
          <w:rFonts w:hint="eastAsia" w:ascii="宋体" w:hAnsi="宋体"/>
          <w:color w:val="auto"/>
          <w:szCs w:val="28"/>
          <w:highlight w:val="none"/>
        </w:rPr>
        <w:t>月</w:t>
      </w:r>
      <w:r>
        <w:rPr>
          <w:rFonts w:hint="eastAsia" w:ascii="宋体" w:hAnsi="宋体"/>
          <w:color w:val="auto"/>
          <w:szCs w:val="28"/>
          <w:highlight w:val="none"/>
          <w:lang w:val="en-US" w:eastAsia="zh-CN"/>
        </w:rPr>
        <w:t>15</w:t>
      </w:r>
      <w:r>
        <w:rPr>
          <w:rFonts w:hint="eastAsia" w:ascii="宋体" w:hAnsi="宋体"/>
          <w:color w:val="auto"/>
          <w:szCs w:val="28"/>
          <w:highlight w:val="none"/>
        </w:rPr>
        <w:t xml:space="preserve">日北京时间14:30 </w:t>
      </w:r>
      <w:bookmarkStart w:id="23" w:name="_Toc23215"/>
    </w:p>
    <w:p>
      <w:pPr>
        <w:pStyle w:val="6"/>
        <w:spacing w:before="0" w:after="0" w:line="360" w:lineRule="auto"/>
        <w:rPr>
          <w:rFonts w:ascii="宋体" w:hAnsi="宋体"/>
          <w:color w:val="auto"/>
          <w:sz w:val="28"/>
          <w:szCs w:val="28"/>
          <w:highlight w:val="none"/>
        </w:rPr>
      </w:pPr>
      <w:bookmarkStart w:id="24" w:name="_Toc6599"/>
      <w:r>
        <w:rPr>
          <w:rFonts w:hint="eastAsia" w:ascii="宋体" w:hAnsi="宋体"/>
          <w:color w:val="auto"/>
          <w:sz w:val="28"/>
          <w:szCs w:val="28"/>
          <w:highlight w:val="none"/>
        </w:rPr>
        <w:t>五、保证金</w:t>
      </w:r>
      <w:bookmarkEnd w:id="22"/>
      <w:bookmarkEnd w:id="23"/>
      <w:bookmarkEnd w:id="24"/>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（一）保证金递交</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竞选人须按本项目规定的比选保证金金额进行缴纳（</w:t>
      </w:r>
      <w:r>
        <w:rPr>
          <w:rFonts w:hint="eastAsia" w:ascii="宋体" w:hAnsi="宋体"/>
          <w:b/>
          <w:color w:val="auto"/>
          <w:szCs w:val="28"/>
          <w:highlight w:val="none"/>
        </w:rPr>
        <w:t>保证金金额详见本篇，一、竞争性比选内容</w:t>
      </w:r>
      <w:r>
        <w:rPr>
          <w:rFonts w:hint="eastAsia" w:ascii="宋体" w:hAnsi="宋体"/>
          <w:color w:val="auto"/>
          <w:szCs w:val="28"/>
          <w:highlight w:val="none"/>
        </w:rPr>
        <w:t>），由竞选人从其基本账户将比选保证金汇至以下账户（</w:t>
      </w:r>
      <w:r>
        <w:rPr>
          <w:rFonts w:hint="eastAsia" w:ascii="宋体" w:hAnsi="宋体"/>
          <w:b/>
          <w:color w:val="auto"/>
          <w:szCs w:val="28"/>
          <w:highlight w:val="none"/>
        </w:rPr>
        <w:t>备注 ：</w:t>
      </w:r>
      <w:r>
        <w:rPr>
          <w:rFonts w:hint="eastAsia" w:ascii="宋体" w:hAnsi="宋体"/>
          <w:b/>
          <w:color w:val="auto"/>
          <w:szCs w:val="28"/>
          <w:highlight w:val="none"/>
          <w:lang w:val="en-US" w:eastAsia="zh-CN"/>
        </w:rPr>
        <w:t>项目名称+</w:t>
      </w:r>
      <w:r>
        <w:rPr>
          <w:rFonts w:hint="eastAsia" w:ascii="宋体" w:hAnsi="宋体"/>
          <w:b/>
          <w:color w:val="auto"/>
          <w:szCs w:val="28"/>
          <w:highlight w:val="none"/>
        </w:rPr>
        <w:t>保证金</w:t>
      </w:r>
      <w:r>
        <w:rPr>
          <w:rFonts w:hint="eastAsia" w:ascii="宋体" w:hAnsi="宋体"/>
          <w:color w:val="auto"/>
          <w:szCs w:val="28"/>
          <w:highlight w:val="none"/>
        </w:rPr>
        <w:t>），比选保证金的到账截止时间为评选前一天17:00时。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保证金账户：</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户    名：瀚景项目管理有限公司重庆分公司</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账    号：123908446310202</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开户银行：招商银行重庆分行西部科学城支行</w:t>
      </w:r>
    </w:p>
    <w:p>
      <w:pPr>
        <w:snapToGrid w:val="0"/>
        <w:spacing w:line="360" w:lineRule="auto"/>
        <w:ind w:firstLine="402" w:firstLineChars="200"/>
        <w:rPr>
          <w:rFonts w:ascii="宋体" w:hAnsi="宋体"/>
          <w:b/>
          <w:color w:val="auto"/>
          <w:szCs w:val="28"/>
          <w:highlight w:val="none"/>
        </w:rPr>
      </w:pPr>
      <w:r>
        <w:rPr>
          <w:rFonts w:hint="eastAsia" w:ascii="宋体" w:hAnsi="宋体"/>
          <w:b/>
          <w:color w:val="auto"/>
          <w:szCs w:val="28"/>
          <w:highlight w:val="none"/>
        </w:rPr>
        <w:t>特别说明：</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1.各竞选人在银行转账（电汇）时，须充分考虑银行转账（电汇）的时间差风险，如同城转账、异地转账或汇款、跨行转账或电汇的时间要求。</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w:t>
      </w:r>
      <w:r>
        <w:rPr>
          <w:rFonts w:ascii="宋体" w:hAnsi="宋体"/>
          <w:color w:val="auto"/>
          <w:szCs w:val="28"/>
          <w:highlight w:val="none"/>
        </w:rPr>
        <w:t>各</w:t>
      </w:r>
      <w:r>
        <w:rPr>
          <w:rFonts w:hint="eastAsia" w:ascii="宋体" w:hAnsi="宋体"/>
          <w:color w:val="auto"/>
          <w:szCs w:val="28"/>
          <w:highlight w:val="none"/>
        </w:rPr>
        <w:t>竞选人</w:t>
      </w:r>
      <w:r>
        <w:rPr>
          <w:rFonts w:ascii="宋体" w:hAnsi="宋体"/>
          <w:color w:val="auto"/>
          <w:szCs w:val="28"/>
          <w:highlight w:val="none"/>
        </w:rPr>
        <w:t>在递交</w:t>
      </w:r>
      <w:r>
        <w:rPr>
          <w:rFonts w:hint="eastAsia" w:ascii="宋体" w:hAnsi="宋体"/>
          <w:color w:val="auto"/>
          <w:szCs w:val="28"/>
          <w:highlight w:val="none"/>
        </w:rPr>
        <w:t>比选</w:t>
      </w:r>
      <w:r>
        <w:rPr>
          <w:rFonts w:ascii="宋体" w:hAnsi="宋体"/>
          <w:color w:val="auto"/>
          <w:szCs w:val="28"/>
          <w:highlight w:val="none"/>
        </w:rPr>
        <w:t>保证金时，到款账户为上述指定的</w:t>
      </w:r>
      <w:r>
        <w:rPr>
          <w:rFonts w:hint="eastAsia" w:ascii="宋体" w:hAnsi="宋体"/>
          <w:color w:val="auto"/>
          <w:szCs w:val="28"/>
          <w:highlight w:val="none"/>
        </w:rPr>
        <w:t>比选</w:t>
      </w:r>
      <w:r>
        <w:rPr>
          <w:rFonts w:ascii="宋体" w:hAnsi="宋体"/>
          <w:color w:val="auto"/>
          <w:szCs w:val="28"/>
          <w:highlight w:val="none"/>
        </w:rPr>
        <w:t>保证金专用账户，来款账户必须为本公司基本账户</w:t>
      </w:r>
      <w:r>
        <w:rPr>
          <w:rFonts w:hint="eastAsia" w:ascii="宋体" w:hAnsi="宋体"/>
          <w:color w:val="auto"/>
          <w:szCs w:val="28"/>
          <w:highlight w:val="none"/>
        </w:rPr>
        <w:t>。</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3.转账时请备注</w:t>
      </w:r>
      <w:r>
        <w:rPr>
          <w:rFonts w:hint="eastAsia" w:ascii="宋体" w:hAnsi="宋体"/>
          <w:color w:val="auto"/>
          <w:szCs w:val="28"/>
          <w:highlight w:val="none"/>
          <w:lang w:val="en-US" w:eastAsia="zh-CN"/>
        </w:rPr>
        <w:t xml:space="preserve"> </w:t>
      </w:r>
      <w:r>
        <w:rPr>
          <w:rFonts w:hint="eastAsia" w:ascii="宋体" w:hAnsi="宋体"/>
          <w:color w:val="auto"/>
          <w:szCs w:val="28"/>
          <w:highlight w:val="none"/>
          <w:u w:val="single"/>
          <w:lang w:val="en-US" w:eastAsia="zh-CN"/>
        </w:rPr>
        <w:t>项目名称+</w:t>
      </w:r>
      <w:r>
        <w:rPr>
          <w:rFonts w:hint="eastAsia" w:ascii="宋体" w:hAnsi="宋体"/>
          <w:b/>
          <w:bCs/>
          <w:color w:val="auto"/>
          <w:szCs w:val="28"/>
          <w:highlight w:val="none"/>
          <w:u w:val="single"/>
        </w:rPr>
        <w:t>保证金</w:t>
      </w:r>
      <w:r>
        <w:rPr>
          <w:rFonts w:ascii="宋体" w:hAnsi="宋体"/>
          <w:color w:val="auto"/>
          <w:szCs w:val="28"/>
          <w:highlight w:val="none"/>
        </w:rPr>
        <w:t>。</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（二）保证金退还方式</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1.未中选人的比选保证金，在中选通知书发放后，在五个工作日内按来款渠道直接退还。</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2.中选人的比选保证金，在中选人与比选人签订合同后，在五个工作日内按资金来款渠道直接退还。</w:t>
      </w:r>
    </w:p>
    <w:p>
      <w:pPr>
        <w:pStyle w:val="6"/>
        <w:spacing w:before="0" w:after="0" w:line="360" w:lineRule="auto"/>
        <w:rPr>
          <w:rFonts w:ascii="宋体" w:hAnsi="宋体"/>
          <w:color w:val="auto"/>
          <w:sz w:val="28"/>
          <w:szCs w:val="28"/>
          <w:highlight w:val="none"/>
        </w:rPr>
      </w:pPr>
      <w:bookmarkStart w:id="25" w:name="_Toc24581"/>
      <w:bookmarkStart w:id="26" w:name="_Toc28445"/>
      <w:r>
        <w:rPr>
          <w:rFonts w:hint="eastAsia" w:ascii="宋体" w:hAnsi="宋体"/>
          <w:color w:val="auto"/>
          <w:sz w:val="28"/>
          <w:szCs w:val="28"/>
          <w:highlight w:val="none"/>
        </w:rPr>
        <w:t>六、</w:t>
      </w:r>
      <w:bookmarkEnd w:id="17"/>
      <w:r>
        <w:rPr>
          <w:rFonts w:hint="eastAsia" w:ascii="宋体" w:hAnsi="宋体"/>
          <w:color w:val="auto"/>
          <w:sz w:val="28"/>
          <w:szCs w:val="28"/>
          <w:highlight w:val="none"/>
        </w:rPr>
        <w:t>其它有关规定</w:t>
      </w:r>
      <w:bookmarkEnd w:id="25"/>
      <w:bookmarkEnd w:id="26"/>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（一）单位负责人为同一人或者存在直接控股、管理关系的不同竞选人，不得参加同一合同项（分包）下的比选，否则均为无效比选。</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（二）为比选项目提供整体设计、规范编制或者项目管理、监理、检测等服务的竞选人，不得再参加本项目的比选，否则均为无效响应。</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（四）超过竞选文件截止时间递交的竞选文件，恕不接收。</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（五）比选费用：无论比选结果如何，竞选人参与本项目比选的所有费用均应由竞选人自行承担。</w:t>
      </w:r>
    </w:p>
    <w:p>
      <w:pPr>
        <w:snapToGrid w:val="0"/>
        <w:spacing w:line="360" w:lineRule="auto"/>
        <w:ind w:firstLine="400" w:firstLineChars="200"/>
        <w:rPr>
          <w:bCs/>
          <w:color w:val="auto"/>
          <w:szCs w:val="28"/>
          <w:highlight w:val="none"/>
        </w:rPr>
      </w:pPr>
      <w:r>
        <w:rPr>
          <w:rFonts w:hint="eastAsia" w:hAnsi="宋体"/>
          <w:bCs/>
          <w:color w:val="auto"/>
          <w:szCs w:val="28"/>
          <w:highlight w:val="none"/>
        </w:rPr>
        <w:t>（</w:t>
      </w:r>
      <w:r>
        <w:rPr>
          <w:rFonts w:hAnsi="宋体"/>
          <w:bCs/>
          <w:color w:val="auto"/>
          <w:szCs w:val="28"/>
          <w:highlight w:val="none"/>
        </w:rPr>
        <w:t>六）本项目</w:t>
      </w:r>
      <w:r>
        <w:rPr>
          <w:rFonts w:hAnsi="宋体"/>
          <w:b/>
          <w:color w:val="auto"/>
          <w:szCs w:val="28"/>
          <w:highlight w:val="none"/>
        </w:rPr>
        <w:t>不接受</w:t>
      </w:r>
      <w:r>
        <w:rPr>
          <w:rFonts w:hAnsi="宋体"/>
          <w:bCs/>
          <w:color w:val="auto"/>
          <w:szCs w:val="28"/>
          <w:highlight w:val="none"/>
        </w:rPr>
        <w:t>联合体参与</w:t>
      </w:r>
      <w:r>
        <w:rPr>
          <w:rFonts w:hint="eastAsia" w:hAnsi="宋体"/>
          <w:bCs/>
          <w:color w:val="auto"/>
          <w:szCs w:val="28"/>
          <w:highlight w:val="none"/>
        </w:rPr>
        <w:t>比选</w:t>
      </w:r>
      <w:r>
        <w:rPr>
          <w:rFonts w:hAnsi="宋体"/>
          <w:bCs/>
          <w:color w:val="auto"/>
          <w:szCs w:val="28"/>
          <w:highlight w:val="none"/>
        </w:rPr>
        <w:t>。</w:t>
      </w:r>
    </w:p>
    <w:p>
      <w:pPr>
        <w:snapToGrid w:val="0"/>
        <w:spacing w:line="360" w:lineRule="auto"/>
        <w:ind w:firstLine="400" w:firstLineChars="200"/>
        <w:rPr>
          <w:color w:val="auto"/>
          <w:szCs w:val="28"/>
          <w:highlight w:val="none"/>
        </w:rPr>
      </w:pPr>
      <w:r>
        <w:rPr>
          <w:rFonts w:hAnsi="宋体"/>
          <w:color w:val="auto"/>
          <w:szCs w:val="28"/>
          <w:highlight w:val="none"/>
        </w:rPr>
        <w:t>（七）</w:t>
      </w:r>
      <w:r>
        <w:rPr>
          <w:rFonts w:hint="eastAsia" w:hAnsi="宋体"/>
          <w:color w:val="auto"/>
          <w:szCs w:val="28"/>
          <w:highlight w:val="none"/>
        </w:rPr>
        <w:t>竞选人</w:t>
      </w:r>
      <w:r>
        <w:rPr>
          <w:rFonts w:hAnsi="宋体"/>
          <w:color w:val="auto"/>
          <w:szCs w:val="28"/>
          <w:highlight w:val="none"/>
        </w:rPr>
        <w:t>列入失信被执行人、重大税收违法案件当事人名单、政府采购严重违法失信行为记录名单及其他不符合</w:t>
      </w:r>
      <w:r>
        <w:rPr>
          <w:rFonts w:hint="eastAsia" w:hAnsi="宋体"/>
          <w:color w:val="auto"/>
          <w:szCs w:val="28"/>
          <w:highlight w:val="none"/>
        </w:rPr>
        <w:t>相关法律法规</w:t>
      </w:r>
      <w:r>
        <w:rPr>
          <w:rFonts w:hAnsi="宋体"/>
          <w:color w:val="auto"/>
          <w:szCs w:val="28"/>
          <w:highlight w:val="none"/>
        </w:rPr>
        <w:t>的</w:t>
      </w:r>
      <w:r>
        <w:rPr>
          <w:rFonts w:hint="eastAsia" w:ascii="宋体" w:hAnsi="宋体"/>
          <w:color w:val="auto"/>
          <w:szCs w:val="28"/>
          <w:highlight w:val="none"/>
        </w:rPr>
        <w:t>竞选人</w:t>
      </w:r>
      <w:r>
        <w:rPr>
          <w:rFonts w:hAnsi="宋体"/>
          <w:color w:val="auto"/>
          <w:szCs w:val="28"/>
          <w:highlight w:val="none"/>
        </w:rPr>
        <w:t>，将拒绝其参与</w:t>
      </w:r>
      <w:r>
        <w:rPr>
          <w:rFonts w:hint="eastAsia" w:hAnsi="宋体"/>
          <w:color w:val="auto"/>
          <w:szCs w:val="28"/>
          <w:highlight w:val="none"/>
        </w:rPr>
        <w:t>比选</w:t>
      </w:r>
      <w:r>
        <w:rPr>
          <w:rFonts w:hAnsi="宋体"/>
          <w:color w:val="auto"/>
          <w:szCs w:val="28"/>
          <w:highlight w:val="none"/>
        </w:rPr>
        <w:t>。</w:t>
      </w:r>
    </w:p>
    <w:p>
      <w:pPr>
        <w:pStyle w:val="6"/>
        <w:spacing w:before="0" w:after="0" w:line="360" w:lineRule="auto"/>
        <w:rPr>
          <w:rFonts w:ascii="宋体" w:hAnsi="宋体"/>
          <w:color w:val="auto"/>
          <w:sz w:val="28"/>
          <w:szCs w:val="28"/>
          <w:highlight w:val="none"/>
        </w:rPr>
      </w:pPr>
      <w:bookmarkStart w:id="27" w:name="_Toc6127"/>
      <w:bookmarkStart w:id="28" w:name="_Toc4934"/>
      <w:r>
        <w:rPr>
          <w:rFonts w:hint="eastAsia" w:ascii="宋体" w:hAnsi="宋体"/>
          <w:color w:val="auto"/>
          <w:sz w:val="28"/>
          <w:szCs w:val="28"/>
          <w:highlight w:val="none"/>
        </w:rPr>
        <w:t>七、联系方式</w:t>
      </w:r>
      <w:bookmarkEnd w:id="27"/>
      <w:bookmarkEnd w:id="28"/>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(一)比选人：重庆市制造业人才服务中心</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w:t>
      </w:r>
      <w:r>
        <w:rPr>
          <w:rFonts w:hint="eastAsia" w:ascii="宋体" w:hAnsi="宋体"/>
          <w:color w:val="auto"/>
          <w:szCs w:val="28"/>
          <w:highlight w:val="none"/>
          <w:lang w:val="en-US" w:eastAsia="zh-CN"/>
        </w:rPr>
        <w:t>谯</w:t>
      </w:r>
      <w:r>
        <w:rPr>
          <w:rFonts w:hint="eastAsia" w:ascii="宋体" w:hAnsi="宋体"/>
          <w:color w:val="auto"/>
          <w:szCs w:val="28"/>
          <w:highlight w:val="none"/>
        </w:rPr>
        <w:t>老师</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电话：</w:t>
      </w:r>
      <w:r>
        <w:rPr>
          <w:rFonts w:hint="eastAsia" w:ascii="宋体" w:hAnsi="宋体"/>
          <w:color w:val="auto"/>
          <w:szCs w:val="28"/>
          <w:highlight w:val="none"/>
          <w:lang w:eastAsia="zh-CN"/>
        </w:rPr>
        <w:t>023-60332620</w:t>
      </w:r>
      <w:r>
        <w:rPr>
          <w:rFonts w:hint="eastAsia" w:ascii="宋体" w:hAnsi="宋体"/>
          <w:color w:val="auto"/>
          <w:szCs w:val="28"/>
          <w:highlight w:val="none"/>
        </w:rPr>
        <w:t xml:space="preserve"> </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地址：重庆市渝中区上清寺路1号附1号中昂·世纪环岛5层21号</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（二）比选代理机构：瀚景项目管理有限公司重庆分公司</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w:t>
      </w:r>
      <w:r>
        <w:rPr>
          <w:rFonts w:hint="eastAsia" w:ascii="宋体" w:hAnsi="宋体"/>
          <w:color w:val="auto"/>
          <w:szCs w:val="28"/>
          <w:highlight w:val="none"/>
          <w:lang w:val="en-US" w:eastAsia="zh-CN"/>
        </w:rPr>
        <w:t>刘</w:t>
      </w:r>
      <w:r>
        <w:rPr>
          <w:rFonts w:hint="eastAsia" w:ascii="宋体" w:hAnsi="宋体"/>
          <w:color w:val="auto"/>
          <w:szCs w:val="28"/>
          <w:highlight w:val="none"/>
        </w:rPr>
        <w:t>老师</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电  话：</w:t>
      </w:r>
      <w:r>
        <w:rPr>
          <w:rFonts w:hint="eastAsia" w:ascii="宋体" w:hAnsi="宋体"/>
          <w:color w:val="auto"/>
          <w:szCs w:val="28"/>
          <w:highlight w:val="none"/>
          <w:lang w:eastAsia="zh-CN"/>
        </w:rPr>
        <w:t>023-</w:t>
      </w:r>
      <w:r>
        <w:rPr>
          <w:rFonts w:hint="eastAsia" w:ascii="宋体" w:hAnsi="宋体"/>
          <w:color w:val="auto"/>
          <w:szCs w:val="28"/>
          <w:highlight w:val="none"/>
        </w:rPr>
        <w:t>63414739</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  址：重庆市渝北区洪湖西路21号30-1</w:t>
      </w:r>
    </w:p>
    <w:p>
      <w:pPr>
        <w:snapToGrid w:val="0"/>
        <w:spacing w:line="360" w:lineRule="auto"/>
        <w:ind w:firstLine="400" w:firstLineChars="200"/>
        <w:rPr>
          <w:rFonts w:ascii="宋体" w:hAnsi="宋体"/>
          <w:color w:val="auto"/>
          <w:szCs w:val="28"/>
          <w:highlight w:val="none"/>
        </w:rPr>
      </w:pPr>
    </w:p>
    <w:p>
      <w:pPr>
        <w:pStyle w:val="59"/>
        <w:rPr>
          <w:color w:val="auto"/>
          <w:szCs w:val="28"/>
          <w:highlight w:val="none"/>
        </w:rPr>
      </w:pPr>
    </w:p>
    <w:p>
      <w:pPr>
        <w:snapToGrid w:val="0"/>
        <w:spacing w:line="360" w:lineRule="auto"/>
        <w:ind w:firstLine="400" w:firstLineChars="200"/>
        <w:rPr>
          <w:rFonts w:ascii="宋体" w:hAnsi="宋体"/>
          <w:color w:val="auto"/>
          <w:szCs w:val="28"/>
          <w:highlight w:val="none"/>
        </w:rPr>
      </w:pPr>
    </w:p>
    <w:p>
      <w:pPr>
        <w:snapToGrid w:val="0"/>
        <w:spacing w:line="360" w:lineRule="auto"/>
        <w:ind w:firstLine="400" w:firstLineChars="200"/>
        <w:rPr>
          <w:rFonts w:ascii="宋体" w:hAnsi="宋体"/>
          <w:color w:val="auto"/>
          <w:szCs w:val="28"/>
          <w:highlight w:val="none"/>
        </w:rPr>
      </w:pPr>
    </w:p>
    <w:p>
      <w:pPr>
        <w:snapToGrid w:val="0"/>
        <w:spacing w:line="360" w:lineRule="auto"/>
        <w:ind w:firstLine="400" w:firstLineChars="200"/>
        <w:rPr>
          <w:rFonts w:ascii="宋体" w:hAnsi="宋体"/>
          <w:color w:val="auto"/>
          <w:szCs w:val="28"/>
          <w:highlight w:val="none"/>
        </w:rPr>
      </w:pPr>
    </w:p>
    <w:p>
      <w:pPr>
        <w:snapToGrid w:val="0"/>
        <w:spacing w:line="360" w:lineRule="auto"/>
        <w:ind w:firstLine="400" w:firstLineChars="200"/>
        <w:rPr>
          <w:rFonts w:ascii="宋体" w:hAnsi="宋体"/>
          <w:color w:val="auto"/>
          <w:szCs w:val="28"/>
          <w:highlight w:val="none"/>
        </w:rPr>
      </w:pPr>
    </w:p>
    <w:p>
      <w:pPr>
        <w:rPr>
          <w:rFonts w:hint="eastAsia" w:ascii="宋体" w:hAnsi="宋体"/>
          <w:color w:val="auto"/>
          <w:szCs w:val="28"/>
          <w:highlight w:val="none"/>
        </w:rPr>
      </w:pPr>
      <w:r>
        <w:rPr>
          <w:rFonts w:hint="eastAsia" w:ascii="宋体" w:hAnsi="宋体"/>
          <w:color w:val="auto"/>
          <w:szCs w:val="28"/>
          <w:highlight w:val="none"/>
        </w:rPr>
        <w:br w:type="page"/>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附件：</w:t>
      </w:r>
    </w:p>
    <w:p>
      <w:pPr>
        <w:jc w:val="center"/>
        <w:rPr>
          <w:rFonts w:eastAsia="黑体"/>
          <w:b/>
          <w:bCs/>
          <w:color w:val="auto"/>
          <w:spacing w:val="40"/>
          <w:sz w:val="36"/>
          <w:szCs w:val="44"/>
          <w:highlight w:val="none"/>
        </w:rPr>
      </w:pPr>
      <w:r>
        <w:rPr>
          <w:rFonts w:hint="eastAsia" w:eastAsia="黑体"/>
          <w:b/>
          <w:bCs/>
          <w:color w:val="auto"/>
          <w:spacing w:val="40"/>
          <w:sz w:val="36"/>
          <w:szCs w:val="44"/>
          <w:highlight w:val="none"/>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项目编号</w:t>
            </w:r>
          </w:p>
        </w:tc>
        <w:tc>
          <w:tcPr>
            <w:tcW w:w="3931" w:type="pct"/>
            <w:gridSpan w:val="5"/>
            <w:vAlign w:val="center"/>
          </w:tcPr>
          <w:p>
            <w:pPr>
              <w:jc w:val="center"/>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项目名称</w:t>
            </w:r>
          </w:p>
        </w:tc>
        <w:tc>
          <w:tcPr>
            <w:tcW w:w="3931" w:type="pct"/>
            <w:gridSpan w:val="5"/>
            <w:vAlign w:val="center"/>
          </w:tcPr>
          <w:p>
            <w:pPr>
              <w:jc w:val="center"/>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登记日期</w:t>
            </w:r>
          </w:p>
        </w:tc>
        <w:tc>
          <w:tcPr>
            <w:tcW w:w="1803" w:type="pct"/>
            <w:gridSpan w:val="2"/>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 xml:space="preserve">     年    月    日</w:t>
            </w:r>
          </w:p>
        </w:tc>
        <w:tc>
          <w:tcPr>
            <w:tcW w:w="556" w:type="pct"/>
            <w:gridSpan w:val="2"/>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报名费</w:t>
            </w:r>
          </w:p>
        </w:tc>
        <w:tc>
          <w:tcPr>
            <w:tcW w:w="1571" w:type="pct"/>
            <w:vAlign w:val="center"/>
          </w:tcPr>
          <w:p>
            <w:pPr>
              <w:ind w:firstLine="400" w:firstLineChars="200"/>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300元</w:t>
            </w:r>
          </w:p>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竞选人名称</w:t>
            </w:r>
          </w:p>
        </w:tc>
        <w:tc>
          <w:tcPr>
            <w:tcW w:w="3931" w:type="pct"/>
            <w:gridSpan w:val="5"/>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 xml:space="preserve">                  （竞选人公章）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联系人</w:t>
            </w:r>
          </w:p>
        </w:tc>
        <w:tc>
          <w:tcPr>
            <w:tcW w:w="1337" w:type="pct"/>
            <w:vAlign w:val="center"/>
          </w:tcPr>
          <w:p>
            <w:pPr>
              <w:jc w:val="left"/>
              <w:rPr>
                <w:rFonts w:asciiTheme="minorEastAsia" w:hAnsiTheme="minorEastAsia" w:eastAsiaTheme="minorEastAsia"/>
                <w:color w:val="auto"/>
                <w:szCs w:val="28"/>
                <w:highlight w:val="none"/>
              </w:rPr>
            </w:pPr>
          </w:p>
        </w:tc>
        <w:tc>
          <w:tcPr>
            <w:tcW w:w="585" w:type="pct"/>
            <w:gridSpan w:val="2"/>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手机</w:t>
            </w:r>
          </w:p>
        </w:tc>
        <w:tc>
          <w:tcPr>
            <w:tcW w:w="2007" w:type="pct"/>
            <w:gridSpan w:val="2"/>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办公电话</w:t>
            </w:r>
          </w:p>
        </w:tc>
        <w:tc>
          <w:tcPr>
            <w:tcW w:w="1337" w:type="pct"/>
            <w:vAlign w:val="center"/>
          </w:tcPr>
          <w:p>
            <w:pPr>
              <w:jc w:val="left"/>
              <w:rPr>
                <w:rFonts w:asciiTheme="minorEastAsia" w:hAnsiTheme="minorEastAsia" w:eastAsiaTheme="minorEastAsia"/>
                <w:color w:val="auto"/>
                <w:szCs w:val="28"/>
                <w:highlight w:val="none"/>
              </w:rPr>
            </w:pPr>
          </w:p>
        </w:tc>
        <w:tc>
          <w:tcPr>
            <w:tcW w:w="585" w:type="pct"/>
            <w:gridSpan w:val="2"/>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传真</w:t>
            </w:r>
          </w:p>
        </w:tc>
        <w:tc>
          <w:tcPr>
            <w:tcW w:w="2007" w:type="pct"/>
            <w:gridSpan w:val="2"/>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E-mail</w:t>
            </w:r>
          </w:p>
        </w:tc>
        <w:tc>
          <w:tcPr>
            <w:tcW w:w="3931" w:type="pct"/>
            <w:gridSpan w:val="5"/>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单位地址</w:t>
            </w:r>
          </w:p>
        </w:tc>
        <w:tc>
          <w:tcPr>
            <w:tcW w:w="3931" w:type="pct"/>
            <w:gridSpan w:val="5"/>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备注：</w:t>
            </w:r>
          </w:p>
        </w:tc>
      </w:tr>
    </w:tbl>
    <w:p>
      <w:pPr>
        <w:spacing w:line="480" w:lineRule="exact"/>
        <w:jc w:val="left"/>
        <w:rPr>
          <w:rFonts w:ascii="宋体" w:hAnsi="宋体"/>
          <w:color w:val="auto"/>
          <w:szCs w:val="21"/>
          <w:highlight w:val="none"/>
        </w:rPr>
      </w:pPr>
      <w:r>
        <w:rPr>
          <w:rFonts w:hint="eastAsia" w:ascii="宋体" w:hAnsi="宋体"/>
          <w:color w:val="auto"/>
          <w:szCs w:val="21"/>
          <w:highlight w:val="none"/>
        </w:rPr>
        <w:t>说明：潜在竞选人请填写本表并加盖单位公章，在报名内将本表扫描或拍照，连同</w:t>
      </w:r>
      <w:r>
        <w:rPr>
          <w:rFonts w:hint="eastAsia" w:ascii="宋体" w:hAnsi="宋体"/>
          <w:color w:val="auto"/>
          <w:szCs w:val="28"/>
          <w:highlight w:val="none"/>
        </w:rPr>
        <w:t>购买比选文件汇款凭证</w:t>
      </w:r>
      <w:r>
        <w:rPr>
          <w:rFonts w:hint="eastAsia" w:ascii="宋体" w:hAnsi="宋体"/>
          <w:color w:val="auto"/>
          <w:szCs w:val="21"/>
          <w:highlight w:val="none"/>
        </w:rPr>
        <w:t>发送至</w:t>
      </w:r>
      <w:r>
        <w:rPr>
          <w:rFonts w:hint="eastAsia" w:ascii="宋体" w:hAnsi="宋体"/>
          <w:color w:val="auto"/>
          <w:szCs w:val="21"/>
          <w:highlight w:val="none"/>
          <w:lang w:val="en-US" w:eastAsia="zh-CN"/>
        </w:rPr>
        <w:t>1337576162</w:t>
      </w:r>
      <w:r>
        <w:rPr>
          <w:rFonts w:hint="eastAsia" w:ascii="宋体" w:hAnsi="宋体"/>
          <w:color w:val="auto"/>
          <w:szCs w:val="21"/>
          <w:highlight w:val="none"/>
        </w:rPr>
        <w:t>@</w:t>
      </w:r>
      <w:r>
        <w:rPr>
          <w:rFonts w:hint="eastAsia" w:ascii="宋体" w:hAnsi="宋体"/>
          <w:color w:val="auto"/>
          <w:szCs w:val="21"/>
          <w:highlight w:val="none"/>
          <w:lang w:val="en-US" w:eastAsia="zh-CN"/>
        </w:rPr>
        <w:t>qq</w:t>
      </w:r>
      <w:r>
        <w:rPr>
          <w:rFonts w:hint="eastAsia" w:ascii="宋体" w:hAnsi="宋体"/>
          <w:color w:val="auto"/>
          <w:szCs w:val="21"/>
          <w:highlight w:val="none"/>
        </w:rPr>
        <w:t>.com，在报名期内完成了报名手续的竞选人，其竞选文件才被接收。</w:t>
      </w:r>
    </w:p>
    <w:p>
      <w:pPr>
        <w:snapToGrid w:val="0"/>
        <w:spacing w:line="360" w:lineRule="auto"/>
        <w:ind w:firstLine="400" w:firstLineChars="200"/>
        <w:rPr>
          <w:rFonts w:ascii="宋体" w:hAnsi="宋体"/>
          <w:color w:val="auto"/>
          <w:szCs w:val="28"/>
          <w:highlight w:val="none"/>
        </w:rPr>
        <w:sectPr>
          <w:footerReference r:id="rId8" w:type="default"/>
          <w:pgSz w:w="11907" w:h="16840"/>
          <w:pgMar w:top="850" w:right="850" w:bottom="850" w:left="850" w:header="964" w:footer="992" w:gutter="0"/>
          <w:pgNumType w:start="1"/>
          <w:cols w:space="720" w:num="1"/>
          <w:docGrid w:linePitch="312" w:charSpace="0"/>
        </w:sectPr>
      </w:pPr>
    </w:p>
    <w:p>
      <w:pPr>
        <w:pStyle w:val="5"/>
        <w:spacing w:before="140" w:after="140" w:line="360" w:lineRule="auto"/>
        <w:jc w:val="center"/>
        <w:rPr>
          <w:rFonts w:ascii="宋体" w:hAnsi="宋体" w:eastAsia="宋体"/>
          <w:color w:val="auto"/>
          <w:sz w:val="36"/>
          <w:szCs w:val="36"/>
          <w:highlight w:val="none"/>
        </w:rPr>
      </w:pPr>
      <w:bookmarkStart w:id="29" w:name="_Toc102227313"/>
      <w:bookmarkStart w:id="30" w:name="_Toc13941"/>
      <w:bookmarkStart w:id="31" w:name="_Toc12386"/>
      <w:r>
        <w:rPr>
          <w:rFonts w:hint="eastAsia" w:ascii="宋体" w:hAnsi="宋体" w:eastAsia="宋体"/>
          <w:color w:val="auto"/>
          <w:sz w:val="36"/>
          <w:szCs w:val="36"/>
          <w:highlight w:val="none"/>
        </w:rPr>
        <w:t xml:space="preserve">第二篇  </w:t>
      </w:r>
      <w:bookmarkEnd w:id="29"/>
      <w:r>
        <w:rPr>
          <w:rFonts w:hint="eastAsia" w:ascii="宋体" w:hAnsi="宋体" w:eastAsia="宋体"/>
          <w:color w:val="auto"/>
          <w:sz w:val="36"/>
          <w:szCs w:val="36"/>
          <w:highlight w:val="none"/>
        </w:rPr>
        <w:t>项目服务需求</w:t>
      </w:r>
      <w:bookmarkEnd w:id="30"/>
      <w:bookmarkEnd w:id="31"/>
    </w:p>
    <w:p>
      <w:pPr>
        <w:pStyle w:val="129"/>
        <w:ind w:left="0" w:leftChars="0" w:firstLine="632"/>
        <w:jc w:val="left"/>
        <w:rPr>
          <w:rFonts w:ascii="宋体" w:hAnsi="宋体"/>
          <w:b/>
          <w:color w:val="auto"/>
          <w:sz w:val="28"/>
          <w:szCs w:val="28"/>
          <w:highlight w:val="none"/>
        </w:rPr>
      </w:pPr>
      <w:r>
        <w:rPr>
          <w:rFonts w:hint="eastAsia"/>
          <w:b/>
          <w:color w:val="auto"/>
          <w:sz w:val="28"/>
          <w:szCs w:val="28"/>
          <w:highlight w:val="none"/>
        </w:rPr>
        <w:t>备注：★标注条款为实质性要求，作为符合性评审标准，不符合的按无效响应处理。</w:t>
      </w:r>
    </w:p>
    <w:p>
      <w:pPr>
        <w:pStyle w:val="6"/>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ascii="宋体" w:hAnsi="宋体"/>
          <w:color w:val="auto"/>
          <w:sz w:val="28"/>
          <w:szCs w:val="28"/>
          <w:highlight w:val="none"/>
        </w:rPr>
      </w:pPr>
      <w:bookmarkStart w:id="32" w:name="_Toc5509"/>
      <w:bookmarkStart w:id="33" w:name="_Toc32115"/>
      <w:r>
        <w:rPr>
          <w:rFonts w:hint="eastAsia"/>
          <w:color w:val="auto"/>
          <w:sz w:val="28"/>
          <w:szCs w:val="28"/>
          <w:highlight w:val="none"/>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、工作内容</w:t>
      </w:r>
      <w:bookmarkEnd w:id="32"/>
      <w:bookmarkEnd w:id="33"/>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408"/>
        <w:gridCol w:w="5850"/>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F1F1F1" w:themeFill="background1" w:themeFillShade="F2"/>
          </w:tcPr>
          <w:p>
            <w:pPr>
              <w:jc w:val="center"/>
              <w:rPr>
                <w:rFonts w:hint="eastAsia" w:asciiTheme="minorEastAsia" w:hAnsiTheme="minorEastAsia" w:eastAsiaTheme="minorEastAsia" w:cstheme="minorEastAsia"/>
                <w:color w:val="auto"/>
                <w:sz w:val="24"/>
                <w:szCs w:val="24"/>
                <w:highlight w:val="none"/>
              </w:rPr>
            </w:pPr>
            <w:bookmarkStart w:id="34" w:name="_Toc12789058"/>
            <w:r>
              <w:rPr>
                <w:rFonts w:hint="eastAsia" w:asciiTheme="minorEastAsia" w:hAnsiTheme="minorEastAsia" w:eastAsiaTheme="minorEastAsia" w:cstheme="minorEastAsia"/>
                <w:color w:val="auto"/>
                <w:sz w:val="24"/>
                <w:szCs w:val="24"/>
                <w:highlight w:val="none"/>
              </w:rPr>
              <w:t>序号</w:t>
            </w:r>
          </w:p>
        </w:tc>
        <w:tc>
          <w:tcPr>
            <w:tcW w:w="1408" w:type="dxa"/>
            <w:shd w:val="clear" w:color="auto" w:fill="F1F1F1" w:themeFill="background1" w:themeFillShade="F2"/>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服务内容</w:t>
            </w:r>
          </w:p>
        </w:tc>
        <w:tc>
          <w:tcPr>
            <w:tcW w:w="5850" w:type="dxa"/>
            <w:shd w:val="clear" w:color="auto" w:fill="F1F1F1" w:themeFill="background1" w:themeFillShade="F2"/>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技术标准（成果/效果）</w:t>
            </w:r>
          </w:p>
        </w:tc>
        <w:tc>
          <w:tcPr>
            <w:tcW w:w="1485" w:type="dxa"/>
            <w:shd w:val="clear" w:color="auto" w:fill="F1F1F1" w:themeFill="background1" w:themeFillShade="F2"/>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方案设计</w:t>
            </w:r>
          </w:p>
        </w:tc>
        <w:tc>
          <w:tcPr>
            <w:tcW w:w="5850"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利用PPT设计出平台70%页面原型图视觉效果，同时包含TKD信息策划的策划方案</w:t>
            </w:r>
          </w:p>
        </w:tc>
        <w:tc>
          <w:tcPr>
            <w:tcW w:w="1485" w:type="dxa"/>
            <w:vMerge w:val="restart"/>
            <w:vAlign w:val="center"/>
          </w:tcPr>
          <w:p>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视觉设计</w:t>
            </w:r>
          </w:p>
        </w:tc>
        <w:tc>
          <w:tcPr>
            <w:tcW w:w="5850" w:type="dxa"/>
          </w:tcPr>
          <w:p>
            <w:pPr>
              <w:pStyle w:val="107"/>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中心VIS设计：基础系统及超过20个应用的应用系统，并打印成册1本VIS手册；</w:t>
            </w:r>
          </w:p>
          <w:p>
            <w:pPr>
              <w:pStyle w:val="107"/>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平台网页端UI设计：首页、栏目页、落地页等每个定制页面的UI设计出图；</w:t>
            </w:r>
          </w:p>
          <w:p>
            <w:pPr>
              <w:pStyle w:val="107"/>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上线物料设计：确保平台上线的Banner图、轮播图、讲师形象照等出图</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开发端口</w:t>
            </w:r>
          </w:p>
        </w:tc>
        <w:tc>
          <w:tcPr>
            <w:tcW w:w="5850"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保证PC端平台正常上线运营、确保移动端网页能够自适应呈现及使用</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平台开发</w:t>
            </w:r>
          </w:p>
        </w:tc>
        <w:tc>
          <w:tcPr>
            <w:tcW w:w="5850" w:type="dxa"/>
          </w:tcPr>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页面展示：首页、栏目页、落地页等定制开发页面能够正常呈现给用户观看；</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会员系统：能够保证用户正常注册、注销、登录、会员等级、会员权限等功能实现；</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支付系统：保证用户在平台能够通过微信、支付宝等支付平台课程及其它相关服务内容的费用，同时拥有申请退款等功能；</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报名系统：保证平台相关课程、会议、赛事等活动能够进行在线报名及统计；</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学习系统：保证用户在平台能够进行视频学习，及学习进度定位，同时随时能够生成学习分析报告，供学员在线查看或下载，同时能够通过后台设置视频锁功能；</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搜索功能：用户能够通过关键词实现对整站非会员呈现内容的搜索；</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查询功能：会员能够通过要求信息的填写，精准查询相关证书或会员状态等信息；</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阅读功能：能够在线阅读或下载PDF等文档内容；</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动态看板：管理员能够通过表格一键上传动态看板的数据；用户能够看到动态看板的相关数据；</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内容管理系统：管理员能够通过后台对平台内容进行管理（上传/更新/删除等）</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数据库建立：全平台数据库搭建，预留后期扩展功能，支持数据分析等</w:t>
            </w:r>
          </w:p>
          <w:p>
            <w:pPr>
              <w:pStyle w:val="107"/>
              <w:numPr>
                <w:ilvl w:val="0"/>
                <w:numId w:val="2"/>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自动实名审核功能：通过对接第三方实现会员真实身份信息的实名制审核。</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硬件搭建</w:t>
            </w:r>
          </w:p>
        </w:tc>
        <w:tc>
          <w:tcPr>
            <w:tcW w:w="5850" w:type="dxa"/>
          </w:tcPr>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采用阿里云技术，实现200人同时在线视频学习并非；</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云服务器ECS：2台WEB应用服务器弹性负载，提供高可用访问服务；</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云数据库RDS：MySQL数据库主备模式提供高数据库高可用服务；</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对象存储OSS：云服务器下所有云硬盘创建一致性在线备份，无需关机。针对病毒入侵、人为误删除、软硬件故障等场景，可将数据恢复到任意备份点；</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安全中心（动态感知）：①版本选择：企业版、②保有服务器台数：1台、③防勒索：50、④容器镜像安全扫描：0、⑤日志分析：40、⑥云蜜罐：否、⑦网页防篡改：否、⑧威胁分析：否、⑨恶意文件检测SDK：否、⑩安全大屏：否、</w:t>
            </w:r>
            <w:r>
              <w:rPr>
                <w:rFonts w:hint="eastAsia" w:asciiTheme="minorEastAsia" w:hAnsiTheme="minorEastAsia" w:eastAsiaTheme="minorEastAsia" w:cstheme="minorEastAsia"/>
                <w:color w:val="auto"/>
                <w:sz w:val="24"/>
                <w:szCs w:val="24"/>
                <w:highlight w:val="none"/>
                <w:shd w:val="clear" w:color="auto" w:fill="FFFFFF"/>
              </w:rPr>
              <w:t>⑪</w:t>
            </w:r>
            <w:r>
              <w:rPr>
                <w:rFonts w:hint="eastAsia" w:asciiTheme="minorEastAsia" w:hAnsiTheme="minorEastAsia" w:eastAsiaTheme="minorEastAsia" w:cstheme="minorEastAsia"/>
                <w:color w:val="auto"/>
                <w:sz w:val="24"/>
                <w:szCs w:val="24"/>
                <w:highlight w:val="none"/>
              </w:rPr>
              <w:t>购买时长：1年。</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CDN/全站加速流量年包：通过将源站内容分发至靠近用户的加速节点，使用户可以就近获得所需的内容，解决Internet网络拥挤的状况，提高用户访问的响应速度和成功率，从而提升您业务的使用体验。</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视频直播流量包：为客户提供视频上传、自动化转码处理、媒资管理、分发加速的一站式视频点播媒体服务。更高效。</w:t>
            </w:r>
          </w:p>
          <w:p>
            <w:pPr>
              <w:pStyle w:val="107"/>
              <w:numPr>
                <w:ilvl w:val="0"/>
                <w:numId w:val="3"/>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云证书管理：网站、APP应用、小程序等数据传输通道https加密，防止数据在传输过程中被篡改。</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408"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授权与认证</w:t>
            </w:r>
          </w:p>
        </w:tc>
        <w:tc>
          <w:tcPr>
            <w:tcW w:w="5850" w:type="dxa"/>
          </w:tcPr>
          <w:p>
            <w:pPr>
              <w:pStyle w:val="107"/>
              <w:numPr>
                <w:ilvl w:val="0"/>
                <w:numId w:val="4"/>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能够实现通过微信登录平台；</w:t>
            </w:r>
          </w:p>
          <w:p>
            <w:pPr>
              <w:pStyle w:val="107"/>
              <w:numPr>
                <w:ilvl w:val="0"/>
                <w:numId w:val="4"/>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能够实现通过微信、支付宝进行在线支付、收款或退费；</w:t>
            </w:r>
          </w:p>
          <w:p>
            <w:pPr>
              <w:pStyle w:val="107"/>
              <w:numPr>
                <w:ilvl w:val="0"/>
                <w:numId w:val="4"/>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能够实现平台采用第三方提供的接口，实现自动实名认证；</w:t>
            </w:r>
          </w:p>
          <w:p>
            <w:pPr>
              <w:pStyle w:val="107"/>
              <w:numPr>
                <w:ilvl w:val="0"/>
                <w:numId w:val="4"/>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百度官方认证：网站标题后面能够出现『官网』二字；</w:t>
            </w:r>
          </w:p>
          <w:p>
            <w:pPr>
              <w:pStyle w:val="107"/>
              <w:numPr>
                <w:ilvl w:val="0"/>
                <w:numId w:val="4"/>
              </w:numPr>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能够实现用户利用通过手机短信登录账户。</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408" w:type="dxa"/>
          </w:tcPr>
          <w:p>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相关服务</w:t>
            </w:r>
          </w:p>
        </w:tc>
        <w:tc>
          <w:tcPr>
            <w:tcW w:w="5850" w:type="dxa"/>
          </w:tcPr>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1个域名（国际、国内任选）；</w:t>
            </w:r>
          </w:p>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辅导甲方完成上线物料内容的有序准备；</w:t>
            </w:r>
          </w:p>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帮助甲方开发设计日常汇报PPT一个；</w:t>
            </w:r>
          </w:p>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对管理人员平台后台操作进行系统培训，并实现其能独立操作后台；</w:t>
            </w:r>
          </w:p>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日常网站正常运行维护、应急处理、适当修改调整。</w:t>
            </w:r>
          </w:p>
          <w:p>
            <w:pPr>
              <w:pStyle w:val="107"/>
              <w:numPr>
                <w:ilvl w:val="0"/>
                <w:numId w:val="5"/>
              </w:numPr>
              <w:ind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定期派驻品牌营销顾问驻场指导中心及平台的品牌推广、产品开发、课程开发、管理体系搭建、团队能力指导等工作。</w:t>
            </w:r>
          </w:p>
        </w:tc>
        <w:tc>
          <w:tcPr>
            <w:tcW w:w="1485" w:type="dxa"/>
            <w:vMerge w:val="continue"/>
          </w:tcPr>
          <w:p>
            <w:pPr>
              <w:rPr>
                <w:rFonts w:hint="eastAsia" w:asciiTheme="minorEastAsia" w:hAnsiTheme="minorEastAsia" w:eastAsiaTheme="minorEastAsia" w:cstheme="minorEastAsia"/>
                <w:color w:val="auto"/>
                <w:sz w:val="24"/>
                <w:szCs w:val="24"/>
                <w:highlight w:val="none"/>
              </w:rPr>
            </w:pPr>
          </w:p>
        </w:tc>
      </w:tr>
    </w:tbl>
    <w:p>
      <w:pPr>
        <w:pStyle w:val="3"/>
        <w:ind w:left="0" w:leftChars="0" w:firstLine="0" w:firstLineChars="0"/>
        <w:jc w:val="both"/>
        <w:rPr>
          <w:color w:val="auto"/>
          <w:highlight w:val="none"/>
        </w:rPr>
      </w:pPr>
    </w:p>
    <w:p>
      <w:pPr>
        <w:pStyle w:val="3"/>
        <w:ind w:left="0"/>
        <w:jc w:val="both"/>
        <w:rPr>
          <w:color w:val="auto"/>
          <w:highlight w:val="none"/>
        </w:rPr>
      </w:pPr>
    </w:p>
    <w:p>
      <w:pPr>
        <w:spacing w:line="360" w:lineRule="auto"/>
        <w:jc w:val="center"/>
        <w:outlineLvl w:val="1"/>
        <w:rPr>
          <w:rStyle w:val="226"/>
          <w:color w:val="auto"/>
          <w:highlight w:val="none"/>
        </w:rPr>
      </w:pPr>
      <w:r>
        <w:rPr>
          <w:rFonts w:ascii="宋体" w:hAnsi="宋体"/>
          <w:color w:val="auto"/>
          <w:sz w:val="36"/>
          <w:szCs w:val="36"/>
          <w:highlight w:val="none"/>
          <w:u w:val="single"/>
        </w:rPr>
        <w:br w:type="page"/>
      </w:r>
      <w:bookmarkStart w:id="35" w:name="_Toc24606"/>
      <w:bookmarkStart w:id="36" w:name="_Toc20614"/>
      <w:r>
        <w:rPr>
          <w:rStyle w:val="226"/>
          <w:rFonts w:hint="eastAsia"/>
          <w:color w:val="auto"/>
          <w:highlight w:val="none"/>
        </w:rPr>
        <w:t>第三篇  项目商务</w:t>
      </w:r>
      <w:bookmarkEnd w:id="34"/>
      <w:r>
        <w:rPr>
          <w:rStyle w:val="226"/>
          <w:rFonts w:hint="eastAsia"/>
          <w:color w:val="auto"/>
          <w:highlight w:val="none"/>
        </w:rPr>
        <w:t>要求</w:t>
      </w:r>
      <w:bookmarkEnd w:id="35"/>
    </w:p>
    <w:bookmarkEnd w:id="36"/>
    <w:p>
      <w:pPr>
        <w:pStyle w:val="129"/>
        <w:ind w:left="0" w:leftChars="0" w:firstLine="632"/>
        <w:rPr>
          <w:rFonts w:ascii="宋体" w:hAnsi="宋体"/>
          <w:color w:val="auto"/>
          <w:szCs w:val="28"/>
          <w:highlight w:val="none"/>
        </w:rPr>
      </w:pPr>
      <w:r>
        <w:rPr>
          <w:rFonts w:hint="eastAsia"/>
          <w:b/>
          <w:color w:val="auto"/>
          <w:sz w:val="28"/>
          <w:szCs w:val="28"/>
          <w:highlight w:val="none"/>
        </w:rPr>
        <w:t>备注：★标注条款为实质性要求，作为符合性评审标准，不符合的按无效响应处理。</w:t>
      </w:r>
      <w:bookmarkStart w:id="37" w:name="_Toc11641055"/>
      <w:bookmarkStart w:id="38" w:name="_Toc12789059"/>
    </w:p>
    <w:p>
      <w:pPr>
        <w:pStyle w:val="6"/>
        <w:spacing w:before="0" w:after="0" w:line="360" w:lineRule="auto"/>
        <w:rPr>
          <w:bCs/>
          <w:color w:val="auto"/>
          <w:sz w:val="28"/>
          <w:szCs w:val="28"/>
          <w:highlight w:val="none"/>
          <w:lang w:val="zh-CN"/>
        </w:rPr>
      </w:pPr>
      <w:bookmarkStart w:id="39" w:name="_Toc1046"/>
      <w:bookmarkStart w:id="40" w:name="_Toc267320049"/>
      <w:bookmarkStart w:id="41" w:name="_Toc51154114"/>
      <w:bookmarkStart w:id="42" w:name="_Toc16870"/>
      <w:r>
        <w:rPr>
          <w:rFonts w:hint="eastAsia"/>
          <w:color w:val="auto"/>
          <w:sz w:val="28"/>
          <w:szCs w:val="28"/>
          <w:highlight w:val="none"/>
        </w:rPr>
        <w:t>★</w:t>
      </w:r>
      <w:r>
        <w:rPr>
          <w:rFonts w:hint="eastAsia"/>
          <w:bCs/>
          <w:color w:val="auto"/>
          <w:sz w:val="28"/>
          <w:szCs w:val="28"/>
          <w:highlight w:val="none"/>
          <w:lang w:val="zh-CN"/>
        </w:rPr>
        <w:t>一、服务期、服务地点及验收方式</w:t>
      </w:r>
      <w:bookmarkEnd w:id="39"/>
      <w:bookmarkEnd w:id="40"/>
      <w:bookmarkEnd w:id="41"/>
      <w:bookmarkEnd w:id="42"/>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（一）服务期限：</w:t>
      </w:r>
      <w:r>
        <w:rPr>
          <w:rFonts w:hint="eastAsia" w:ascii="宋体" w:hAnsi="宋体"/>
          <w:color w:val="auto"/>
          <w:szCs w:val="28"/>
          <w:highlight w:val="none"/>
          <w:lang w:val="en-US" w:eastAsia="zh-CN"/>
        </w:rPr>
        <w:t>自合同签订之日起60日历天完成</w:t>
      </w:r>
      <w:r>
        <w:rPr>
          <w:rFonts w:hint="eastAsia" w:ascii="宋体" w:hAnsi="宋体"/>
          <w:color w:val="auto"/>
          <w:szCs w:val="28"/>
          <w:highlight w:val="none"/>
        </w:rPr>
        <w:t>。</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（二）服务地点：比选人指定地点。</w:t>
      </w:r>
    </w:p>
    <w:p>
      <w:pPr>
        <w:spacing w:line="360" w:lineRule="auto"/>
        <w:ind w:firstLine="400" w:firstLineChars="200"/>
        <w:rPr>
          <w:rFonts w:ascii="宋体" w:hAnsi="宋体"/>
          <w:color w:val="auto"/>
          <w:szCs w:val="28"/>
          <w:highlight w:val="none"/>
        </w:rPr>
      </w:pPr>
      <w:bookmarkStart w:id="43" w:name="_Toc27387"/>
      <w:r>
        <w:rPr>
          <w:rFonts w:hint="eastAsia" w:ascii="宋体" w:hAnsi="宋体"/>
          <w:color w:val="auto"/>
          <w:szCs w:val="28"/>
          <w:highlight w:val="none"/>
        </w:rPr>
        <w:t>（三）验收方式：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1.验收组织单位：重庆市制造业人才服务中心。</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3.验收所产生的一切费用由中选单位承担。</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4.若有需要，中选单位应配合比选人完成项目审计。</w:t>
      </w:r>
      <w:bookmarkEnd w:id="43"/>
    </w:p>
    <w:p>
      <w:pPr>
        <w:pStyle w:val="6"/>
        <w:spacing w:before="0" w:after="0" w:line="360" w:lineRule="auto"/>
        <w:rPr>
          <w:bCs/>
          <w:color w:val="auto"/>
          <w:sz w:val="28"/>
          <w:szCs w:val="28"/>
          <w:highlight w:val="none"/>
          <w:lang w:val="zh-CN"/>
        </w:rPr>
      </w:pPr>
      <w:bookmarkStart w:id="44" w:name="_Toc11525"/>
      <w:bookmarkStart w:id="45" w:name="_Toc51154115"/>
      <w:bookmarkStart w:id="46" w:name="_Toc2112"/>
      <w:bookmarkStart w:id="47" w:name="_Toc267320050"/>
      <w:r>
        <w:rPr>
          <w:rFonts w:hint="eastAsia"/>
          <w:color w:val="auto"/>
          <w:sz w:val="28"/>
          <w:szCs w:val="28"/>
          <w:highlight w:val="none"/>
        </w:rPr>
        <w:t>★</w:t>
      </w:r>
      <w:r>
        <w:rPr>
          <w:rFonts w:hint="eastAsia"/>
          <w:bCs/>
          <w:color w:val="auto"/>
          <w:sz w:val="28"/>
          <w:szCs w:val="28"/>
          <w:highlight w:val="none"/>
          <w:lang w:val="zh-CN"/>
        </w:rPr>
        <w:t>二、报价要求</w:t>
      </w:r>
      <w:bookmarkEnd w:id="44"/>
      <w:bookmarkEnd w:id="45"/>
      <w:bookmarkEnd w:id="46"/>
    </w:p>
    <w:bookmarkEnd w:id="47"/>
    <w:p>
      <w:pPr>
        <w:spacing w:line="360" w:lineRule="auto"/>
        <w:ind w:firstLine="400" w:firstLineChars="200"/>
        <w:rPr>
          <w:rFonts w:ascii="宋体" w:hAnsi="宋体"/>
          <w:color w:val="auto"/>
          <w:szCs w:val="28"/>
          <w:highlight w:val="none"/>
        </w:rPr>
      </w:pPr>
      <w:bookmarkStart w:id="48" w:name="_Toc493506292"/>
      <w:bookmarkStart w:id="49" w:name="_Toc509322423"/>
      <w:bookmarkStart w:id="50" w:name="_Toc6578"/>
      <w:r>
        <w:rPr>
          <w:rFonts w:hint="eastAsia" w:ascii="宋体" w:hAnsi="宋体"/>
          <w:color w:val="auto"/>
          <w:szCs w:val="28"/>
          <w:highlight w:val="none"/>
        </w:rPr>
        <w:t>竞选人的报价应包括完成项目的全部费用。按照甲方项目服务需求，竞选人服务内容包括但不限于调研费用、咨询费用、软件开发服务费用、差旅费、培训费、质保费、运维费、管理费、利润、税费、中选后支付给比选代理机构的代理服务费及其它与本项目相关的一切费用，比选人除此以外不支付其它费用。因竞选人自身原因造成漏报、少报皆由其自行承担责任，比选人不再补偿。</w:t>
      </w:r>
      <w:bookmarkEnd w:id="48"/>
      <w:bookmarkEnd w:id="49"/>
      <w:bookmarkEnd w:id="50"/>
    </w:p>
    <w:p>
      <w:pPr>
        <w:spacing w:line="360" w:lineRule="auto"/>
        <w:outlineLvl w:val="2"/>
        <w:rPr>
          <w:rFonts w:hint="eastAsia" w:ascii="Times New Roman" w:hAnsi="Times New Roman" w:eastAsia="宋体" w:cs="Times New Roman"/>
          <w:b/>
          <w:bCs/>
          <w:color w:val="auto"/>
          <w:kern w:val="0"/>
          <w:sz w:val="28"/>
          <w:szCs w:val="28"/>
          <w:highlight w:val="none"/>
          <w:lang w:val="zh-CN" w:eastAsia="zh-CN" w:bidi="ar-SA"/>
        </w:rPr>
      </w:pPr>
      <w:bookmarkStart w:id="51" w:name="_Toc31416"/>
      <w:r>
        <w:rPr>
          <w:rFonts w:hint="eastAsia" w:ascii="Times New Roman" w:hAnsi="Times New Roman" w:eastAsia="宋体" w:cs="Times New Roman"/>
          <w:b/>
          <w:bCs/>
          <w:color w:val="auto"/>
          <w:kern w:val="0"/>
          <w:sz w:val="28"/>
          <w:szCs w:val="28"/>
          <w:highlight w:val="none"/>
          <w:lang w:val="zh-CN" w:eastAsia="zh-CN" w:bidi="ar-SA"/>
        </w:rPr>
        <w:t>★三、</w:t>
      </w:r>
      <w:bookmarkStart w:id="52" w:name="_Toc344475122"/>
      <w:r>
        <w:rPr>
          <w:rFonts w:hint="eastAsia" w:ascii="Times New Roman" w:hAnsi="Times New Roman" w:eastAsia="宋体" w:cs="Times New Roman"/>
          <w:b/>
          <w:bCs/>
          <w:color w:val="auto"/>
          <w:kern w:val="0"/>
          <w:sz w:val="28"/>
          <w:szCs w:val="28"/>
          <w:highlight w:val="none"/>
          <w:lang w:val="zh-CN" w:eastAsia="zh-CN" w:bidi="ar-SA"/>
        </w:rPr>
        <w:t>付款方式</w:t>
      </w:r>
      <w:bookmarkEnd w:id="51"/>
      <w:bookmarkEnd w:id="52"/>
      <w:bookmarkStart w:id="53" w:name="_Toc17513"/>
      <w:bookmarkStart w:id="54" w:name="_Toc344475123"/>
    </w:p>
    <w:p>
      <w:p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53"/>
      <w:bookmarkStart w:id="55" w:name="_Toc28582"/>
    </w:p>
    <w:p>
      <w:pPr>
        <w:spacing w:line="360" w:lineRule="auto"/>
        <w:outlineLvl w:val="2"/>
        <w:rPr>
          <w:rFonts w:hint="eastAsia" w:ascii="Times New Roman" w:hAnsi="Times New Roman" w:eastAsia="宋体" w:cs="Times New Roman"/>
          <w:b/>
          <w:bCs/>
          <w:color w:val="auto"/>
          <w:kern w:val="0"/>
          <w:sz w:val="28"/>
          <w:szCs w:val="28"/>
          <w:highlight w:val="none"/>
          <w:lang w:val="zh-CN" w:eastAsia="zh-CN" w:bidi="ar-SA"/>
        </w:rPr>
      </w:pPr>
      <w:bookmarkStart w:id="56" w:name="_Toc25374"/>
      <w:r>
        <w:rPr>
          <w:rFonts w:hint="eastAsia" w:ascii="Times New Roman" w:hAnsi="Times New Roman" w:eastAsia="宋体" w:cs="Times New Roman"/>
          <w:b/>
          <w:bCs/>
          <w:color w:val="auto"/>
          <w:kern w:val="0"/>
          <w:sz w:val="28"/>
          <w:szCs w:val="28"/>
          <w:highlight w:val="none"/>
          <w:lang w:val="zh-CN" w:eastAsia="zh-CN" w:bidi="ar-SA"/>
        </w:rPr>
        <w:t>★四、</w:t>
      </w:r>
      <w:bookmarkStart w:id="57" w:name="_Toc78194443"/>
      <w:bookmarkStart w:id="58" w:name="_Toc106893666"/>
      <w:bookmarkStart w:id="59" w:name="_Toc28867"/>
      <w:r>
        <w:rPr>
          <w:rFonts w:hint="eastAsia" w:ascii="Times New Roman" w:hAnsi="Times New Roman" w:eastAsia="宋体" w:cs="Times New Roman"/>
          <w:b/>
          <w:bCs/>
          <w:color w:val="auto"/>
          <w:kern w:val="0"/>
          <w:sz w:val="28"/>
          <w:szCs w:val="28"/>
          <w:highlight w:val="none"/>
          <w:lang w:val="zh-CN" w:eastAsia="zh-CN" w:bidi="ar-SA"/>
        </w:rPr>
        <w:t>违约条款</w:t>
      </w:r>
      <w:bookmarkEnd w:id="55"/>
      <w:bookmarkEnd w:id="56"/>
      <w:bookmarkEnd w:id="57"/>
      <w:bookmarkEnd w:id="58"/>
      <w:bookmarkEnd w:id="59"/>
    </w:p>
    <w:p>
      <w:pPr>
        <w:numPr>
          <w:ilvl w:val="0"/>
          <w:numId w:val="6"/>
        </w:num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0" w:name="_Toc11384"/>
    </w:p>
    <w:p>
      <w:pPr>
        <w:spacing w:line="360" w:lineRule="auto"/>
        <w:outlineLvl w:val="2"/>
        <w:rPr>
          <w:rFonts w:hint="eastAsia" w:ascii="Times New Roman" w:hAnsi="Times New Roman" w:eastAsia="宋体" w:cs="Times New Roman"/>
          <w:b/>
          <w:bCs/>
          <w:color w:val="auto"/>
          <w:kern w:val="0"/>
          <w:sz w:val="28"/>
          <w:szCs w:val="28"/>
          <w:highlight w:val="none"/>
          <w:lang w:val="zh-CN" w:eastAsia="zh-CN" w:bidi="ar-SA"/>
        </w:rPr>
      </w:pPr>
      <w:bookmarkStart w:id="61" w:name="_Toc31068"/>
      <w:r>
        <w:rPr>
          <w:rFonts w:hint="eastAsia" w:ascii="Times New Roman" w:hAnsi="Times New Roman" w:eastAsia="宋体" w:cs="Times New Roman"/>
          <w:b/>
          <w:bCs/>
          <w:color w:val="auto"/>
          <w:kern w:val="0"/>
          <w:sz w:val="28"/>
          <w:szCs w:val="28"/>
          <w:highlight w:val="none"/>
          <w:lang w:val="zh-CN" w:eastAsia="zh-CN" w:bidi="ar-SA"/>
        </w:rPr>
        <w:t>★五、不可抗力</w:t>
      </w:r>
      <w:bookmarkEnd w:id="60"/>
      <w:bookmarkEnd w:id="61"/>
    </w:p>
    <w:p>
      <w:pPr>
        <w:numPr>
          <w:ilvl w:val="0"/>
          <w:numId w:val="0"/>
        </w:numPr>
        <w:spacing w:line="360" w:lineRule="auto"/>
        <w:ind w:firstLine="200" w:firstLineChars="100"/>
        <w:rPr>
          <w:rFonts w:hint="eastAsia" w:ascii="宋体" w:hAnsi="宋体"/>
          <w:color w:val="auto"/>
          <w:szCs w:val="28"/>
          <w:highlight w:val="none"/>
        </w:rPr>
      </w:pPr>
      <w:r>
        <w:rPr>
          <w:rFonts w:hint="eastAsia" w:ascii="宋体" w:hAnsi="宋体"/>
          <w:color w:val="auto"/>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2" w:name="_Toc28901"/>
    </w:p>
    <w:p>
      <w:pPr>
        <w:spacing w:line="360" w:lineRule="auto"/>
        <w:outlineLvl w:val="2"/>
        <w:rPr>
          <w:rFonts w:hint="eastAsia" w:ascii="Times New Roman" w:hAnsi="Times New Roman" w:eastAsia="宋体" w:cs="Times New Roman"/>
          <w:b/>
          <w:bCs/>
          <w:color w:val="auto"/>
          <w:kern w:val="0"/>
          <w:sz w:val="28"/>
          <w:szCs w:val="28"/>
          <w:highlight w:val="none"/>
          <w:lang w:val="zh-CN" w:eastAsia="zh-CN" w:bidi="ar-SA"/>
        </w:rPr>
      </w:pPr>
      <w:bookmarkStart w:id="63" w:name="_Toc15491"/>
      <w:r>
        <w:rPr>
          <w:rFonts w:hint="eastAsia" w:ascii="Times New Roman" w:hAnsi="Times New Roman" w:eastAsia="宋体" w:cs="Times New Roman"/>
          <w:b/>
          <w:bCs/>
          <w:color w:val="auto"/>
          <w:kern w:val="0"/>
          <w:sz w:val="28"/>
          <w:szCs w:val="28"/>
          <w:highlight w:val="none"/>
          <w:lang w:val="zh-CN" w:eastAsia="zh-CN" w:bidi="ar-SA"/>
        </w:rPr>
        <w:t>★六、知识产权</w:t>
      </w:r>
      <w:bookmarkEnd w:id="62"/>
      <w:bookmarkEnd w:id="63"/>
    </w:p>
    <w:p>
      <w:pPr>
        <w:numPr>
          <w:ilvl w:val="0"/>
          <w:numId w:val="0"/>
        </w:numPr>
        <w:spacing w:line="360" w:lineRule="auto"/>
        <w:ind w:firstLine="400" w:firstLineChars="200"/>
        <w:rPr>
          <w:rFonts w:hint="eastAsia" w:ascii="宋体" w:hAnsi="宋体"/>
          <w:color w:val="auto"/>
          <w:szCs w:val="28"/>
          <w:highlight w:val="none"/>
        </w:rPr>
      </w:pPr>
    </w:p>
    <w:p>
      <w:pPr>
        <w:numPr>
          <w:ilvl w:val="0"/>
          <w:numId w:val="0"/>
        </w:num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356" w:firstLineChars="178"/>
        <w:rPr>
          <w:rFonts w:ascii="宋体" w:hAnsi="宋体"/>
          <w:color w:val="auto"/>
          <w:szCs w:val="28"/>
          <w:highlight w:val="none"/>
        </w:rPr>
      </w:pPr>
      <w:r>
        <w:rPr>
          <w:rFonts w:hint="eastAsia" w:ascii="宋体" w:hAnsi="宋体"/>
          <w:color w:val="auto"/>
          <w:szCs w:val="28"/>
          <w:highlight w:val="none"/>
        </w:rPr>
        <w:t>（二）本项目知识产权归比选人所有，中选单位需配合比选人对本项目知识产权进行保护。</w:t>
      </w:r>
    </w:p>
    <w:bookmarkEnd w:id="54"/>
    <w:p>
      <w:pPr>
        <w:pStyle w:val="6"/>
        <w:spacing w:before="0" w:after="0" w:line="360" w:lineRule="auto"/>
        <w:rPr>
          <w:color w:val="auto"/>
          <w:sz w:val="28"/>
          <w:szCs w:val="28"/>
          <w:highlight w:val="none"/>
        </w:rPr>
      </w:pPr>
      <w:bookmarkStart w:id="64" w:name="_Toc30499"/>
      <w:bookmarkStart w:id="65" w:name="_Toc17624"/>
      <w:r>
        <w:rPr>
          <w:rFonts w:hint="eastAsia" w:ascii="宋体" w:hAnsi="宋体"/>
          <w:color w:val="auto"/>
          <w:sz w:val="28"/>
          <w:szCs w:val="28"/>
          <w:highlight w:val="none"/>
        </w:rPr>
        <w:t>七、</w:t>
      </w:r>
      <w:bookmarkStart w:id="66" w:name="_Toc344475125"/>
      <w:r>
        <w:rPr>
          <w:rFonts w:hint="eastAsia"/>
          <w:color w:val="auto"/>
          <w:sz w:val="28"/>
          <w:szCs w:val="28"/>
          <w:highlight w:val="none"/>
        </w:rPr>
        <w:t>其他</w:t>
      </w:r>
      <w:bookmarkEnd w:id="64"/>
      <w:bookmarkEnd w:id="65"/>
    </w:p>
    <w:bookmarkEnd w:id="66"/>
    <w:p>
      <w:pPr>
        <w:snapToGrid w:val="0"/>
        <w:spacing w:line="360" w:lineRule="auto"/>
        <w:ind w:firstLine="400" w:firstLineChars="200"/>
        <w:rPr>
          <w:color w:val="auto"/>
          <w:szCs w:val="28"/>
          <w:highlight w:val="none"/>
        </w:rPr>
      </w:pPr>
      <w:r>
        <w:rPr>
          <w:rFonts w:hint="eastAsia"/>
          <w:color w:val="auto"/>
          <w:szCs w:val="28"/>
          <w:highlight w:val="none"/>
        </w:rPr>
        <w:t>（一）竞选人必须在竞选文件中对以上条款和服务承诺明确列出，承诺内容必须达到本篇及比选文件其他条款的要求。</w:t>
      </w:r>
    </w:p>
    <w:p>
      <w:pPr>
        <w:snapToGrid w:val="0"/>
        <w:spacing w:line="360" w:lineRule="auto"/>
        <w:ind w:firstLine="400" w:firstLineChars="200"/>
        <w:rPr>
          <w:color w:val="auto"/>
          <w:szCs w:val="28"/>
          <w:highlight w:val="none"/>
        </w:rPr>
      </w:pPr>
      <w:r>
        <w:rPr>
          <w:rFonts w:hint="eastAsia"/>
          <w:color w:val="auto"/>
          <w:szCs w:val="28"/>
          <w:highlight w:val="none"/>
        </w:rPr>
        <w:t>（二）其他未尽事宜由供需双方在采购合同中详细约定。</w:t>
      </w:r>
    </w:p>
    <w:p>
      <w:pPr>
        <w:pStyle w:val="5"/>
        <w:spacing w:line="360" w:lineRule="auto"/>
        <w:jc w:val="center"/>
        <w:rPr>
          <w:rFonts w:ascii="宋体" w:hAnsi="宋体" w:eastAsia="宋体"/>
          <w:color w:val="auto"/>
          <w:sz w:val="36"/>
          <w:szCs w:val="36"/>
          <w:highlight w:val="none"/>
        </w:rPr>
      </w:pPr>
      <w:r>
        <w:rPr>
          <w:rFonts w:ascii="宋体" w:hAnsi="宋体" w:eastAsia="宋体"/>
          <w:b w:val="0"/>
          <w:color w:val="auto"/>
          <w:sz w:val="21"/>
          <w:szCs w:val="21"/>
          <w:highlight w:val="none"/>
        </w:rPr>
        <w:br w:type="page"/>
      </w:r>
      <w:bookmarkStart w:id="67" w:name="_Toc23880"/>
      <w:bookmarkStart w:id="68" w:name="_Toc19499"/>
      <w:r>
        <w:rPr>
          <w:rFonts w:hint="eastAsia" w:ascii="宋体" w:hAnsi="宋体" w:eastAsia="宋体"/>
          <w:color w:val="auto"/>
          <w:sz w:val="36"/>
          <w:szCs w:val="36"/>
          <w:highlight w:val="none"/>
        </w:rPr>
        <w:t xml:space="preserve">第四篇  </w:t>
      </w:r>
      <w:bookmarkEnd w:id="37"/>
      <w:bookmarkEnd w:id="38"/>
      <w:r>
        <w:rPr>
          <w:rFonts w:hint="eastAsia" w:ascii="宋体" w:hAnsi="宋体" w:eastAsia="宋体"/>
          <w:color w:val="auto"/>
          <w:sz w:val="36"/>
          <w:szCs w:val="36"/>
          <w:highlight w:val="none"/>
        </w:rPr>
        <w:t>比选程序及方法、评审标准等</w:t>
      </w:r>
      <w:bookmarkEnd w:id="67"/>
      <w:bookmarkEnd w:id="68"/>
    </w:p>
    <w:p>
      <w:pPr>
        <w:pStyle w:val="6"/>
        <w:spacing w:before="0" w:after="0" w:line="480" w:lineRule="exact"/>
        <w:rPr>
          <w:rFonts w:ascii="宋体" w:hAnsi="宋体"/>
          <w:color w:val="auto"/>
          <w:sz w:val="28"/>
          <w:szCs w:val="28"/>
          <w:highlight w:val="none"/>
        </w:rPr>
      </w:pPr>
      <w:bookmarkStart w:id="69" w:name="_Toc21547"/>
      <w:bookmarkStart w:id="70" w:name="_Toc9711"/>
      <w:r>
        <w:rPr>
          <w:rFonts w:hint="eastAsia" w:ascii="宋体" w:hAnsi="宋体"/>
          <w:color w:val="auto"/>
          <w:sz w:val="28"/>
          <w:szCs w:val="28"/>
          <w:highlight w:val="none"/>
        </w:rPr>
        <w:t>一、比选程序及方法</w:t>
      </w:r>
      <w:bookmarkEnd w:id="69"/>
      <w:bookmarkEnd w:id="70"/>
    </w:p>
    <w:p>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（一）比选按竞争性比选文件规定的时间和地点进行，竞选人须有法定代表人或其授权代表参加并签到。</w:t>
      </w:r>
    </w:p>
    <w:p>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（二）比选小组对各竞选人的资格条件、竞选文件的有效性、完整性和响应程度进行审查。各竞选人只有在完全符合要求的前提下，才能参与正式比选。</w:t>
      </w:r>
    </w:p>
    <w:p>
      <w:pPr>
        <w:snapToGrid w:val="0"/>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1．资格性检查。依据法律法规和竞争性比选文件的规定，对竞选文件中的资格证明、比选保证金等进行审查，以确定竞选人是否具备比选资格。资格性检查资料表如下：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67"/>
        <w:gridCol w:w="3836"/>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50" w:type="pct"/>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2208" w:type="pct"/>
            <w:gridSpan w:val="2"/>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检查因素</w:t>
            </w:r>
          </w:p>
        </w:tc>
        <w:tc>
          <w:tcPr>
            <w:tcW w:w="2441" w:type="pct"/>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50" w:type="pct"/>
            <w:vMerge w:val="restart"/>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68" w:type="pct"/>
            <w:vMerge w:val="restart"/>
            <w:vAlign w:val="center"/>
          </w:tcPr>
          <w:p>
            <w:pPr>
              <w:rPr>
                <w:rFonts w:ascii="宋体" w:hAnsi="宋体"/>
                <w:color w:val="auto"/>
                <w:sz w:val="24"/>
                <w:szCs w:val="24"/>
                <w:highlight w:val="none"/>
              </w:rPr>
            </w:pPr>
            <w:r>
              <w:rPr>
                <w:rFonts w:hint="eastAsia" w:ascii="宋体" w:hAnsi="宋体"/>
                <w:color w:val="auto"/>
                <w:sz w:val="24"/>
                <w:szCs w:val="24"/>
                <w:highlight w:val="none"/>
              </w:rPr>
              <w:t>基本资格条件</w:t>
            </w: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tc>
        <w:tc>
          <w:tcPr>
            <w:tcW w:w="2441" w:type="pct"/>
            <w:vAlign w:val="center"/>
          </w:tcPr>
          <w:p>
            <w:pPr>
              <w:rPr>
                <w:rFonts w:ascii="宋体" w:hAnsi="宋体"/>
                <w:color w:val="auto"/>
                <w:sz w:val="24"/>
                <w:szCs w:val="24"/>
                <w:highlight w:val="none"/>
                <w:lang w:val="zh-CN"/>
              </w:rPr>
            </w:pPr>
            <w:r>
              <w:rPr>
                <w:rFonts w:hint="eastAsia" w:ascii="宋体" w:hAnsi="宋体"/>
                <w:color w:val="auto"/>
                <w:sz w:val="24"/>
                <w:szCs w:val="24"/>
                <w:highlight w:val="none"/>
                <w:lang w:val="zh-CN"/>
              </w:rPr>
              <w:t>竞选人法人营业执照（副本）或事业单位法人证书（副本）或个体工商户营业执照或有效的自然人身份证明（注</w:t>
            </w:r>
            <w:r>
              <w:rPr>
                <w:rFonts w:hint="eastAsia" w:ascii="宋体" w:hAnsi="宋体"/>
                <w:color w:val="auto"/>
                <w:sz w:val="24"/>
                <w:szCs w:val="24"/>
                <w:highlight w:val="none"/>
                <w:lang w:val="zh-CN"/>
              </w:rPr>
              <w:fldChar w:fldCharType="begin"/>
            </w:r>
            <w:r>
              <w:rPr>
                <w:rFonts w:hint="eastAsia" w:ascii="宋体" w:hAnsi="宋体"/>
                <w:color w:val="auto"/>
                <w:sz w:val="24"/>
                <w:szCs w:val="24"/>
                <w:highlight w:val="none"/>
                <w:lang w:val="zh-CN"/>
              </w:rPr>
              <w:instrText xml:space="preserve"> eq \o\ac(○,1)</w:instrText>
            </w:r>
            <w:r>
              <w:rPr>
                <w:rFonts w:hint="eastAsia" w:ascii="宋体" w:hAnsi="宋体"/>
                <w:color w:val="auto"/>
                <w:sz w:val="24"/>
                <w:szCs w:val="24"/>
                <w:highlight w:val="none"/>
                <w:lang w:val="zh-CN"/>
              </w:rPr>
              <w:fldChar w:fldCharType="end"/>
            </w:r>
            <w:r>
              <w:rPr>
                <w:rFonts w:hint="eastAsia" w:ascii="宋体" w:hAnsi="宋体"/>
                <w:color w:val="auto"/>
                <w:sz w:val="24"/>
                <w:szCs w:val="24"/>
                <w:highlight w:val="none"/>
                <w:lang w:val="zh-CN"/>
              </w:rPr>
              <w:t xml:space="preserve">）； </w:t>
            </w:r>
          </w:p>
          <w:p>
            <w:pPr>
              <w:rPr>
                <w:rFonts w:ascii="宋体" w:hAnsi="宋体"/>
                <w:color w:val="auto"/>
                <w:sz w:val="24"/>
                <w:szCs w:val="24"/>
                <w:highlight w:val="none"/>
                <w:lang w:val="zh-CN"/>
              </w:rPr>
            </w:pPr>
            <w:r>
              <w:rPr>
                <w:rFonts w:hint="eastAsia" w:ascii="宋体" w:hAnsi="宋体"/>
                <w:color w:val="auto"/>
                <w:sz w:val="24"/>
                <w:szCs w:val="24"/>
                <w:highlight w:val="none"/>
                <w:lang w:val="zh-CN"/>
              </w:rPr>
              <w:t>竞选人法定代表人身份证明和法定代表人授权代表委托书。</w:t>
            </w:r>
          </w:p>
          <w:p>
            <w:pPr>
              <w:rPr>
                <w:rFonts w:ascii="宋体" w:hAnsi="宋体"/>
                <w:color w:val="auto"/>
                <w:sz w:val="24"/>
                <w:szCs w:val="24"/>
                <w:highlight w:val="none"/>
                <w:lang w:val="zh-CN"/>
              </w:rPr>
            </w:pPr>
            <w:r>
              <w:rPr>
                <w:rFonts w:hint="eastAsia" w:ascii="宋体" w:hAnsi="宋体"/>
                <w:b/>
                <w:bCs/>
                <w:color w:val="auto"/>
                <w:sz w:val="24"/>
                <w:szCs w:val="24"/>
                <w:highlight w:val="none"/>
                <w:lang w:val="zh-CN"/>
              </w:rPr>
              <w:t>注：分公司或办事处等不具备独立法人资格的，不得参加本项目竞选。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0" w:type="pct"/>
            <w:vMerge w:val="continue"/>
            <w:vAlign w:val="center"/>
          </w:tcPr>
          <w:p>
            <w:pPr>
              <w:jc w:val="center"/>
              <w:rPr>
                <w:rFonts w:ascii="宋体" w:hAnsi="宋体"/>
                <w:color w:val="auto"/>
                <w:sz w:val="24"/>
                <w:szCs w:val="24"/>
                <w:highlight w:val="none"/>
              </w:rPr>
            </w:pPr>
          </w:p>
        </w:tc>
        <w:tc>
          <w:tcPr>
            <w:tcW w:w="368" w:type="pct"/>
            <w:vMerge w:val="continue"/>
            <w:vAlign w:val="center"/>
          </w:tcPr>
          <w:p>
            <w:pPr>
              <w:rPr>
                <w:rFonts w:ascii="宋体" w:hAnsi="宋体"/>
                <w:color w:val="auto"/>
                <w:sz w:val="24"/>
                <w:szCs w:val="24"/>
                <w:highlight w:val="none"/>
              </w:rPr>
            </w:pP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tc>
        <w:tc>
          <w:tcPr>
            <w:tcW w:w="2441" w:type="pct"/>
            <w:vMerge w:val="restart"/>
            <w:vAlign w:val="center"/>
          </w:tcPr>
          <w:p>
            <w:pPr>
              <w:rPr>
                <w:rFonts w:ascii="宋体" w:hAnsi="宋体"/>
                <w:color w:val="auto"/>
                <w:sz w:val="24"/>
                <w:szCs w:val="24"/>
                <w:highlight w:val="none"/>
                <w:lang w:val="zh-CN"/>
              </w:rPr>
            </w:pPr>
            <w:r>
              <w:rPr>
                <w:rFonts w:hint="eastAsia" w:ascii="宋体" w:hAnsi="宋体"/>
                <w:color w:val="auto"/>
                <w:szCs w:val="28"/>
                <w:highlight w:val="none"/>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50" w:type="pct"/>
            <w:vMerge w:val="continue"/>
            <w:vAlign w:val="center"/>
          </w:tcPr>
          <w:p>
            <w:pPr>
              <w:jc w:val="center"/>
              <w:rPr>
                <w:rFonts w:ascii="宋体" w:hAnsi="宋体"/>
                <w:color w:val="auto"/>
                <w:sz w:val="24"/>
                <w:szCs w:val="24"/>
                <w:highlight w:val="none"/>
              </w:rPr>
            </w:pPr>
          </w:p>
        </w:tc>
        <w:tc>
          <w:tcPr>
            <w:tcW w:w="368" w:type="pct"/>
            <w:vMerge w:val="continue"/>
            <w:vAlign w:val="center"/>
          </w:tcPr>
          <w:p>
            <w:pPr>
              <w:rPr>
                <w:rFonts w:ascii="宋体" w:hAnsi="宋体"/>
                <w:color w:val="auto"/>
                <w:sz w:val="24"/>
                <w:szCs w:val="24"/>
                <w:highlight w:val="none"/>
              </w:rPr>
            </w:pP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tc>
        <w:tc>
          <w:tcPr>
            <w:tcW w:w="2441" w:type="pct"/>
            <w:vMerge w:val="continue"/>
            <w:vAlign w:val="center"/>
          </w:tcPr>
          <w:p>
            <w:pPr>
              <w:rPr>
                <w:rFonts w:ascii="宋体" w:hAns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50" w:type="pct"/>
            <w:vMerge w:val="continue"/>
            <w:vAlign w:val="center"/>
          </w:tcPr>
          <w:p>
            <w:pPr>
              <w:jc w:val="center"/>
              <w:rPr>
                <w:rFonts w:ascii="宋体" w:hAnsi="宋体"/>
                <w:color w:val="auto"/>
                <w:sz w:val="24"/>
                <w:szCs w:val="24"/>
                <w:highlight w:val="none"/>
              </w:rPr>
            </w:pPr>
          </w:p>
        </w:tc>
        <w:tc>
          <w:tcPr>
            <w:tcW w:w="368" w:type="pct"/>
            <w:vMerge w:val="continue"/>
            <w:vAlign w:val="center"/>
          </w:tcPr>
          <w:p>
            <w:pPr>
              <w:rPr>
                <w:rFonts w:ascii="宋体" w:hAnsi="宋体"/>
                <w:color w:val="auto"/>
                <w:sz w:val="24"/>
                <w:szCs w:val="24"/>
                <w:highlight w:val="none"/>
              </w:rPr>
            </w:pP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4）有依法缴纳税收和社会保障金的良好记录</w:t>
            </w:r>
          </w:p>
        </w:tc>
        <w:tc>
          <w:tcPr>
            <w:tcW w:w="2441" w:type="pct"/>
            <w:vMerge w:val="continue"/>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50" w:type="pct"/>
            <w:vMerge w:val="continue"/>
            <w:vAlign w:val="center"/>
          </w:tcPr>
          <w:p>
            <w:pPr>
              <w:jc w:val="center"/>
              <w:rPr>
                <w:rFonts w:ascii="宋体" w:hAnsi="宋体"/>
                <w:color w:val="auto"/>
                <w:sz w:val="24"/>
                <w:szCs w:val="24"/>
                <w:highlight w:val="none"/>
              </w:rPr>
            </w:pPr>
          </w:p>
        </w:tc>
        <w:tc>
          <w:tcPr>
            <w:tcW w:w="368" w:type="pct"/>
            <w:vMerge w:val="continue"/>
            <w:vAlign w:val="center"/>
          </w:tcPr>
          <w:p>
            <w:pPr>
              <w:rPr>
                <w:rFonts w:ascii="宋体" w:hAnsi="宋体"/>
                <w:color w:val="auto"/>
                <w:sz w:val="24"/>
                <w:szCs w:val="24"/>
                <w:highlight w:val="none"/>
              </w:rPr>
            </w:pP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5）参加采购活动前三年内，在经营活动中没有重大违法记录</w:t>
            </w:r>
          </w:p>
        </w:tc>
        <w:tc>
          <w:tcPr>
            <w:tcW w:w="2441" w:type="pct"/>
            <w:vMerge w:val="continue"/>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50" w:type="pct"/>
            <w:vMerge w:val="continue"/>
            <w:vAlign w:val="center"/>
          </w:tcPr>
          <w:p>
            <w:pPr>
              <w:jc w:val="center"/>
              <w:rPr>
                <w:rFonts w:ascii="宋体" w:hAnsi="宋体"/>
                <w:color w:val="auto"/>
                <w:sz w:val="24"/>
                <w:szCs w:val="24"/>
                <w:highlight w:val="none"/>
              </w:rPr>
            </w:pPr>
          </w:p>
        </w:tc>
        <w:tc>
          <w:tcPr>
            <w:tcW w:w="368" w:type="pct"/>
            <w:vMerge w:val="continue"/>
            <w:vAlign w:val="center"/>
          </w:tcPr>
          <w:p>
            <w:pPr>
              <w:rPr>
                <w:rFonts w:ascii="宋体" w:hAnsi="宋体"/>
                <w:color w:val="auto"/>
                <w:sz w:val="24"/>
                <w:szCs w:val="24"/>
                <w:highlight w:val="none"/>
              </w:rPr>
            </w:pPr>
          </w:p>
        </w:tc>
        <w:tc>
          <w:tcPr>
            <w:tcW w:w="1840" w:type="pct"/>
            <w:vAlign w:val="center"/>
          </w:tcPr>
          <w:p>
            <w:pPr>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tc>
        <w:tc>
          <w:tcPr>
            <w:tcW w:w="2441" w:type="pct"/>
            <w:vMerge w:val="continue"/>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0" w:type="pct"/>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208" w:type="pct"/>
            <w:gridSpan w:val="2"/>
            <w:vAlign w:val="center"/>
          </w:tcPr>
          <w:p>
            <w:pP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比选保证金</w:t>
            </w:r>
          </w:p>
        </w:tc>
        <w:tc>
          <w:tcPr>
            <w:tcW w:w="2441" w:type="pct"/>
            <w:vAlign w:val="center"/>
          </w:tcPr>
          <w:p>
            <w:pP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须按照“第一篇 竞争性比选邀请书”规定递交足额保证金。</w:t>
            </w:r>
          </w:p>
        </w:tc>
      </w:tr>
    </w:tbl>
    <w:p>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注：</w:t>
      </w:r>
    </w:p>
    <w:p>
      <w:pPr>
        <w:spacing w:line="440" w:lineRule="exact"/>
        <w:ind w:firstLine="400" w:firstLineChars="200"/>
        <w:rPr>
          <w:color w:val="auto"/>
          <w:szCs w:val="28"/>
          <w:highlight w:val="none"/>
        </w:rPr>
      </w:pPr>
      <w:r>
        <w:rPr>
          <w:rFonts w:hint="eastAsia" w:ascii="宋体" w:hAnsi="宋体"/>
          <w:color w:val="auto"/>
          <w:szCs w:val="28"/>
          <w:highlight w:val="none"/>
        </w:rPr>
        <w:t xml:space="preserve"> “参加比选前三年内，在经营活动中没有重大违法记录”中“重大违法记录”</w:t>
      </w:r>
      <w:r>
        <w:rPr>
          <w:rFonts w:ascii="宋体" w:hAnsi="宋体"/>
          <w:color w:val="auto"/>
          <w:szCs w:val="28"/>
          <w:highlight w:val="none"/>
        </w:rPr>
        <w:t>，是指</w:t>
      </w:r>
      <w:r>
        <w:rPr>
          <w:rFonts w:hint="eastAsia" w:ascii="宋体" w:hAnsi="宋体"/>
          <w:color w:val="auto"/>
          <w:szCs w:val="28"/>
          <w:highlight w:val="none"/>
        </w:rPr>
        <w:t>竞选人</w:t>
      </w:r>
      <w:r>
        <w:rPr>
          <w:rFonts w:ascii="宋体" w:hAnsi="宋体"/>
          <w:color w:val="auto"/>
          <w:szCs w:val="28"/>
          <w:highlight w:val="none"/>
        </w:rPr>
        <w:t>因违法经营受到刑事处罚或者责令停产停业、吊销许可证或者执照、较大数额罚款等行政处罚。</w:t>
      </w:r>
      <w:r>
        <w:rPr>
          <w:rFonts w:hint="eastAsia" w:ascii="宋体" w:hAnsi="宋体"/>
          <w:color w:val="auto"/>
          <w:szCs w:val="28"/>
          <w:highlight w:val="none"/>
        </w:rPr>
        <w:t>行政处罚中“较大数额”的认定标准，由行政处罚的实施机关所在的省、自治区、直辖市人民政府制定，国务院有关部门规定了较大数额标准的，从其规定。</w:t>
      </w:r>
    </w:p>
    <w:p>
      <w:pPr>
        <w:numPr>
          <w:ilvl w:val="0"/>
          <w:numId w:val="7"/>
        </w:numPr>
        <w:spacing w:line="440" w:lineRule="exact"/>
        <w:ind w:firstLine="400" w:firstLineChars="200"/>
        <w:rPr>
          <w:rFonts w:hint="eastAsia" w:ascii="宋体" w:hAnsi="宋体"/>
          <w:color w:val="auto"/>
          <w:szCs w:val="28"/>
          <w:highlight w:val="none"/>
        </w:rPr>
      </w:pPr>
      <w:r>
        <w:rPr>
          <w:rFonts w:hint="eastAsia" w:ascii="宋体" w:hAnsi="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p>
      <w:pPr>
        <w:pStyle w:val="2"/>
        <w:numPr>
          <w:ilvl w:val="0"/>
          <w:numId w:val="0"/>
        </w:numPr>
      </w:pPr>
    </w:p>
    <w:tbl>
      <w:tblPr>
        <w:tblStyle w:val="61"/>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3569" w:type="dxa"/>
            <w:gridSpan w:val="2"/>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评审因素</w:t>
            </w:r>
          </w:p>
        </w:tc>
        <w:tc>
          <w:tcPr>
            <w:tcW w:w="5441" w:type="dxa"/>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73" w:type="dxa"/>
            <w:vMerge w:val="restart"/>
            <w:noWrap/>
            <w:vAlign w:val="center"/>
          </w:tcPr>
          <w:p>
            <w:pPr>
              <w:rPr>
                <w:rFonts w:ascii="宋体" w:hAnsi="宋体"/>
                <w:color w:val="auto"/>
                <w:sz w:val="24"/>
                <w:szCs w:val="24"/>
                <w:highlight w:val="none"/>
              </w:rPr>
            </w:pPr>
            <w:r>
              <w:rPr>
                <w:rFonts w:hint="eastAsia" w:ascii="宋体" w:hAnsi="宋体"/>
                <w:color w:val="auto"/>
                <w:sz w:val="24"/>
                <w:szCs w:val="24"/>
                <w:highlight w:val="none"/>
              </w:rPr>
              <w:t>有效性审查</w:t>
            </w: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竞选文件签署</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ign w:val="center"/>
          </w:tcPr>
          <w:p>
            <w:pPr>
              <w:jc w:val="center"/>
              <w:rPr>
                <w:rFonts w:ascii="宋体" w:hAnsi="宋体"/>
                <w:color w:val="auto"/>
                <w:sz w:val="24"/>
                <w:szCs w:val="24"/>
                <w:highlight w:val="none"/>
              </w:rPr>
            </w:pPr>
          </w:p>
        </w:tc>
        <w:tc>
          <w:tcPr>
            <w:tcW w:w="1573" w:type="dxa"/>
            <w:vMerge w:val="continue"/>
            <w:noWrap/>
            <w:vAlign w:val="center"/>
          </w:tcPr>
          <w:p>
            <w:pPr>
              <w:rPr>
                <w:rFonts w:ascii="宋体" w:hAnsi="宋体"/>
                <w:color w:val="auto"/>
                <w:sz w:val="24"/>
                <w:szCs w:val="24"/>
                <w:highlight w:val="none"/>
              </w:rPr>
            </w:pP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法定代表人身份证明及授权委托书</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ign w:val="center"/>
          </w:tcPr>
          <w:p>
            <w:pPr>
              <w:jc w:val="center"/>
              <w:rPr>
                <w:rFonts w:ascii="宋体" w:hAnsi="宋体"/>
                <w:color w:val="auto"/>
                <w:sz w:val="24"/>
                <w:szCs w:val="24"/>
                <w:highlight w:val="none"/>
              </w:rPr>
            </w:pPr>
          </w:p>
        </w:tc>
        <w:tc>
          <w:tcPr>
            <w:tcW w:w="1573" w:type="dxa"/>
            <w:vMerge w:val="continue"/>
            <w:noWrap/>
            <w:vAlign w:val="center"/>
          </w:tcPr>
          <w:p>
            <w:pPr>
              <w:rPr>
                <w:rFonts w:ascii="宋体" w:hAnsi="宋体"/>
                <w:color w:val="auto"/>
                <w:sz w:val="24"/>
                <w:szCs w:val="24"/>
                <w:highlight w:val="none"/>
              </w:rPr>
            </w:pP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比选方案</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Merge w:val="continue"/>
            <w:noWrap/>
            <w:vAlign w:val="center"/>
          </w:tcPr>
          <w:p>
            <w:pPr>
              <w:jc w:val="center"/>
              <w:rPr>
                <w:rFonts w:ascii="宋体" w:hAnsi="宋体"/>
                <w:color w:val="auto"/>
                <w:sz w:val="24"/>
                <w:szCs w:val="24"/>
                <w:highlight w:val="none"/>
              </w:rPr>
            </w:pPr>
          </w:p>
        </w:tc>
        <w:tc>
          <w:tcPr>
            <w:tcW w:w="1573" w:type="dxa"/>
            <w:vMerge w:val="continue"/>
            <w:noWrap/>
            <w:vAlign w:val="center"/>
          </w:tcPr>
          <w:p>
            <w:pPr>
              <w:rPr>
                <w:rFonts w:ascii="宋体" w:hAnsi="宋体"/>
                <w:color w:val="auto"/>
                <w:sz w:val="24"/>
                <w:szCs w:val="24"/>
                <w:highlight w:val="none"/>
              </w:rPr>
            </w:pP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报价唯一</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只能在最高限价范围内报价，只能有一个有效报价，不得提交选择性报价，不得超过最高限价。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573"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完整性审查</w:t>
            </w: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竞选文件份数</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竞选文件正、副本数量符合竞争性比选文件要求。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restart"/>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573" w:type="dxa"/>
            <w:vMerge w:val="restart"/>
            <w:noWrap/>
            <w:vAlign w:val="center"/>
          </w:tcPr>
          <w:p>
            <w:pPr>
              <w:rPr>
                <w:rFonts w:ascii="宋体" w:hAnsi="宋体"/>
                <w:color w:val="auto"/>
                <w:sz w:val="24"/>
                <w:szCs w:val="24"/>
                <w:highlight w:val="none"/>
              </w:rPr>
            </w:pPr>
            <w:r>
              <w:rPr>
                <w:rFonts w:hint="eastAsia" w:ascii="宋体" w:hAnsi="宋体"/>
                <w:color w:val="auto"/>
                <w:sz w:val="24"/>
                <w:szCs w:val="24"/>
                <w:highlight w:val="none"/>
              </w:rPr>
              <w:t>竞争性比选文件的响应程度审查</w:t>
            </w: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竞选文件内容</w:t>
            </w:r>
          </w:p>
        </w:tc>
        <w:tc>
          <w:tcPr>
            <w:tcW w:w="5441" w:type="dxa"/>
            <w:noWrap/>
            <w:vAlign w:val="center"/>
          </w:tcPr>
          <w:p>
            <w:pPr>
              <w:pStyle w:val="35"/>
              <w:rPr>
                <w:rFonts w:ascii="宋体" w:hAnsi="宋体"/>
                <w:color w:val="auto"/>
                <w:sz w:val="24"/>
                <w:szCs w:val="24"/>
                <w:highlight w:val="none"/>
              </w:rPr>
            </w:pPr>
            <w:r>
              <w:rPr>
                <w:rFonts w:hint="eastAsia" w:ascii="宋体" w:hAnsi="宋体"/>
                <w:color w:val="auto"/>
                <w:sz w:val="24"/>
                <w:szCs w:val="24"/>
                <w:highlight w:val="none"/>
              </w:rPr>
              <w:t>对竞争性比选文件第二篇★部分、第三篇中★部分标注条款的内容作出响应。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ign w:val="center"/>
          </w:tcPr>
          <w:p>
            <w:pPr>
              <w:jc w:val="center"/>
              <w:rPr>
                <w:rFonts w:ascii="宋体" w:hAnsi="宋体"/>
                <w:color w:val="auto"/>
                <w:sz w:val="24"/>
                <w:szCs w:val="24"/>
                <w:highlight w:val="none"/>
              </w:rPr>
            </w:pPr>
          </w:p>
        </w:tc>
        <w:tc>
          <w:tcPr>
            <w:tcW w:w="1573" w:type="dxa"/>
            <w:vMerge w:val="continue"/>
            <w:noWrap/>
            <w:vAlign w:val="center"/>
          </w:tcPr>
          <w:p>
            <w:pPr>
              <w:rPr>
                <w:rFonts w:ascii="宋体" w:hAnsi="宋体"/>
                <w:color w:val="auto"/>
                <w:sz w:val="24"/>
                <w:szCs w:val="24"/>
                <w:highlight w:val="none"/>
              </w:rPr>
            </w:pPr>
          </w:p>
        </w:tc>
        <w:tc>
          <w:tcPr>
            <w:tcW w:w="1996"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比选有效期</w:t>
            </w:r>
          </w:p>
        </w:tc>
        <w:tc>
          <w:tcPr>
            <w:tcW w:w="5441"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满足竞争性比选文件规定。</w:t>
            </w:r>
          </w:p>
        </w:tc>
      </w:tr>
    </w:tbl>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5．在比选过程中比选的任何一方不得向他人透露与比选有关的服务资料、价格或其他信息。</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w:t>
      </w:r>
      <w:r>
        <w:rPr>
          <w:rFonts w:ascii="宋体" w:hAnsi="宋体"/>
          <w:color w:val="auto"/>
          <w:szCs w:val="28"/>
          <w:highlight w:val="none"/>
        </w:rPr>
        <w:t>0</w:t>
      </w:r>
      <w:r>
        <w:rPr>
          <w:rFonts w:hint="eastAsia" w:ascii="宋体" w:hAnsi="宋体"/>
          <w:color w:val="auto"/>
          <w:szCs w:val="28"/>
          <w:highlight w:val="none"/>
        </w:rPr>
        <w:t>分。（详见评审标准）</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10．比选小组各成员独立对每个有效响应的文件进行评价、打分，然后汇总每个竞选人每项评分因素的得分，按评审后得分由高到低的排列顺序推荐综合得分排名前</w:t>
      </w:r>
      <w:r>
        <w:rPr>
          <w:rFonts w:hint="eastAsia" w:ascii="宋体" w:hAnsi="宋体"/>
          <w:color w:val="auto"/>
          <w:szCs w:val="28"/>
          <w:highlight w:val="none"/>
          <w:lang w:val="en-US" w:eastAsia="zh-CN"/>
        </w:rPr>
        <w:t>1-3名</w:t>
      </w:r>
      <w:r>
        <w:rPr>
          <w:rFonts w:hint="eastAsia" w:ascii="宋体" w:hAnsi="宋体"/>
          <w:color w:val="auto"/>
          <w:szCs w:val="28"/>
          <w:highlight w:val="none"/>
        </w:rPr>
        <w:t>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pPr>
        <w:pStyle w:val="6"/>
        <w:spacing w:before="0" w:after="0" w:line="480" w:lineRule="exact"/>
        <w:rPr>
          <w:rFonts w:ascii="宋体" w:hAnsi="宋体"/>
          <w:color w:val="auto"/>
          <w:sz w:val="28"/>
          <w:szCs w:val="28"/>
          <w:highlight w:val="none"/>
        </w:rPr>
      </w:pPr>
      <w:bookmarkStart w:id="71" w:name="_Toc9588"/>
      <w:bookmarkStart w:id="72" w:name="_Toc428437946"/>
      <w:bookmarkStart w:id="73" w:name="_Toc27046"/>
      <w:r>
        <w:rPr>
          <w:rFonts w:hint="eastAsia" w:ascii="宋体" w:hAnsi="宋体"/>
          <w:color w:val="auto"/>
          <w:sz w:val="28"/>
          <w:szCs w:val="28"/>
          <w:highlight w:val="none"/>
        </w:rPr>
        <w:t>二、</w:t>
      </w:r>
      <w:bookmarkStart w:id="74" w:name="_Toc342913394"/>
      <w:bookmarkStart w:id="75" w:name="_Toc102227320"/>
      <w:r>
        <w:rPr>
          <w:rFonts w:hint="eastAsia" w:ascii="宋体" w:hAnsi="宋体"/>
          <w:color w:val="auto"/>
          <w:sz w:val="28"/>
          <w:szCs w:val="28"/>
          <w:highlight w:val="none"/>
        </w:rPr>
        <w:t>评审标准</w:t>
      </w:r>
      <w:bookmarkEnd w:id="71"/>
      <w:bookmarkEnd w:id="72"/>
      <w:bookmarkEnd w:id="73"/>
    </w:p>
    <w:tbl>
      <w:tblPr>
        <w:tblStyle w:val="6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1240"/>
        <w:gridCol w:w="1275"/>
        <w:gridCol w:w="496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41" w:type="dxa"/>
            <w:noWrap/>
            <w:vAlign w:val="center"/>
          </w:tcPr>
          <w:p>
            <w:pPr>
              <w:jc w:val="center"/>
              <w:rPr>
                <w:b/>
                <w:color w:val="auto"/>
                <w:sz w:val="24"/>
                <w:szCs w:val="24"/>
                <w:highlight w:val="none"/>
              </w:rPr>
            </w:pPr>
            <w:r>
              <w:rPr>
                <w:rFonts w:hint="eastAsia"/>
                <w:b/>
                <w:color w:val="auto"/>
                <w:sz w:val="24"/>
                <w:szCs w:val="24"/>
                <w:highlight w:val="none"/>
              </w:rPr>
              <w:t>序号</w:t>
            </w:r>
          </w:p>
        </w:tc>
        <w:tc>
          <w:tcPr>
            <w:tcW w:w="1240" w:type="dxa"/>
            <w:noWrap/>
            <w:vAlign w:val="center"/>
          </w:tcPr>
          <w:p>
            <w:pPr>
              <w:jc w:val="center"/>
              <w:rPr>
                <w:b/>
                <w:color w:val="auto"/>
                <w:sz w:val="24"/>
                <w:szCs w:val="24"/>
                <w:highlight w:val="none"/>
              </w:rPr>
            </w:pPr>
            <w:r>
              <w:rPr>
                <w:rFonts w:hint="eastAsia"/>
                <w:b/>
                <w:color w:val="auto"/>
                <w:sz w:val="24"/>
                <w:szCs w:val="24"/>
                <w:highlight w:val="none"/>
              </w:rPr>
              <w:t>评分因素及权值</w:t>
            </w:r>
          </w:p>
        </w:tc>
        <w:tc>
          <w:tcPr>
            <w:tcW w:w="1275" w:type="dxa"/>
            <w:noWrap/>
            <w:vAlign w:val="center"/>
          </w:tcPr>
          <w:p>
            <w:pPr>
              <w:jc w:val="center"/>
              <w:rPr>
                <w:b/>
                <w:color w:val="auto"/>
                <w:sz w:val="24"/>
                <w:szCs w:val="24"/>
                <w:highlight w:val="none"/>
              </w:rPr>
            </w:pPr>
            <w:r>
              <w:rPr>
                <w:rFonts w:hint="eastAsia"/>
                <w:b/>
                <w:color w:val="auto"/>
                <w:sz w:val="24"/>
                <w:szCs w:val="24"/>
                <w:highlight w:val="none"/>
              </w:rPr>
              <w:t>分值</w:t>
            </w:r>
          </w:p>
        </w:tc>
        <w:tc>
          <w:tcPr>
            <w:tcW w:w="4962" w:type="dxa"/>
            <w:noWrap/>
            <w:vAlign w:val="center"/>
          </w:tcPr>
          <w:p>
            <w:pPr>
              <w:jc w:val="center"/>
              <w:rPr>
                <w:b/>
                <w:color w:val="auto"/>
                <w:sz w:val="24"/>
                <w:szCs w:val="24"/>
                <w:highlight w:val="none"/>
              </w:rPr>
            </w:pPr>
            <w:r>
              <w:rPr>
                <w:rFonts w:hint="eastAsia"/>
                <w:b/>
                <w:color w:val="auto"/>
                <w:sz w:val="24"/>
                <w:szCs w:val="24"/>
                <w:highlight w:val="none"/>
              </w:rPr>
              <w:t>内容</w:t>
            </w:r>
          </w:p>
        </w:tc>
        <w:tc>
          <w:tcPr>
            <w:tcW w:w="1736" w:type="dxa"/>
            <w:noWrap/>
            <w:vAlign w:val="center"/>
          </w:tcPr>
          <w:p>
            <w:pPr>
              <w:jc w:val="center"/>
              <w:rPr>
                <w:b/>
                <w:color w:val="auto"/>
                <w:sz w:val="24"/>
                <w:szCs w:val="24"/>
                <w:highlight w:val="none"/>
              </w:rPr>
            </w:pPr>
            <w:r>
              <w:rPr>
                <w:rFonts w:hint="eastAsia"/>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9" w:hRule="atLeast"/>
          <w:jc w:val="center"/>
        </w:trPr>
        <w:tc>
          <w:tcPr>
            <w:tcW w:w="441" w:type="dxa"/>
            <w:noWrap/>
            <w:vAlign w:val="center"/>
          </w:tcPr>
          <w:p>
            <w:pPr>
              <w:jc w:val="center"/>
              <w:rPr>
                <w:color w:val="auto"/>
                <w:sz w:val="24"/>
                <w:szCs w:val="24"/>
                <w:highlight w:val="none"/>
              </w:rPr>
            </w:pPr>
            <w:r>
              <w:rPr>
                <w:rFonts w:hint="eastAsia"/>
                <w:color w:val="auto"/>
                <w:sz w:val="24"/>
                <w:szCs w:val="24"/>
                <w:highlight w:val="none"/>
              </w:rPr>
              <w:t>1</w:t>
            </w:r>
          </w:p>
        </w:tc>
        <w:tc>
          <w:tcPr>
            <w:tcW w:w="1240" w:type="dxa"/>
            <w:noWrap/>
            <w:vAlign w:val="center"/>
          </w:tcPr>
          <w:p>
            <w:pPr>
              <w:jc w:val="center"/>
              <w:rPr>
                <w:color w:val="auto"/>
                <w:sz w:val="24"/>
                <w:szCs w:val="24"/>
                <w:highlight w:val="none"/>
              </w:rPr>
            </w:pPr>
            <w:r>
              <w:rPr>
                <w:rFonts w:hint="eastAsia"/>
                <w:color w:val="auto"/>
                <w:sz w:val="24"/>
                <w:szCs w:val="24"/>
                <w:highlight w:val="none"/>
              </w:rPr>
              <w:t>比选报价（20%）</w:t>
            </w:r>
          </w:p>
        </w:tc>
        <w:tc>
          <w:tcPr>
            <w:tcW w:w="1275" w:type="dxa"/>
            <w:noWrap/>
            <w:vAlign w:val="center"/>
          </w:tcPr>
          <w:p>
            <w:pPr>
              <w:jc w:val="center"/>
              <w:rPr>
                <w:color w:val="auto"/>
                <w:sz w:val="24"/>
                <w:szCs w:val="24"/>
                <w:highlight w:val="none"/>
              </w:rPr>
            </w:pPr>
            <w:r>
              <w:rPr>
                <w:rFonts w:hint="eastAsia"/>
                <w:color w:val="auto"/>
                <w:sz w:val="24"/>
                <w:szCs w:val="24"/>
                <w:highlight w:val="none"/>
              </w:rPr>
              <w:t>20分</w:t>
            </w:r>
          </w:p>
        </w:tc>
        <w:tc>
          <w:tcPr>
            <w:tcW w:w="4962" w:type="dxa"/>
            <w:noWrap/>
            <w:vAlign w:val="center"/>
          </w:tcPr>
          <w:p>
            <w:pPr>
              <w:ind w:left="90" w:leftChars="45" w:right="90" w:rightChars="45" w:firstLine="480" w:firstLineChars="200"/>
              <w:rPr>
                <w:rFonts w:ascii="宋体" w:hAnsi="宋体"/>
                <w:color w:val="auto"/>
                <w:sz w:val="24"/>
                <w:szCs w:val="24"/>
                <w:highlight w:val="none"/>
              </w:rPr>
            </w:pPr>
            <w:r>
              <w:rPr>
                <w:rFonts w:hint="eastAsia" w:ascii="宋体" w:hAnsi="宋体"/>
                <w:color w:val="auto"/>
                <w:sz w:val="24"/>
                <w:szCs w:val="24"/>
                <w:highlight w:val="none"/>
              </w:rPr>
              <w:t>对满足资格、符合性的要求的竞选人的报价与评选基准价相比，每增加1%扣1分，每减少1%扣0.</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分。具体分值采用插入法计算，保留小数点后两位，第三位四舍五入。</w:t>
            </w:r>
          </w:p>
          <w:p>
            <w:pPr>
              <w:ind w:left="90" w:leftChars="45" w:right="90" w:rightChars="45" w:firstLine="480" w:firstLineChars="200"/>
              <w:rPr>
                <w:rFonts w:ascii="宋体" w:hAnsi="宋体"/>
                <w:color w:val="auto"/>
                <w:sz w:val="24"/>
                <w:szCs w:val="24"/>
                <w:highlight w:val="none"/>
              </w:rPr>
            </w:pPr>
            <w:r>
              <w:rPr>
                <w:rFonts w:hint="eastAsia" w:ascii="宋体" w:hAnsi="宋体"/>
                <w:color w:val="auto"/>
                <w:sz w:val="24"/>
                <w:szCs w:val="24"/>
                <w:highlight w:val="none"/>
              </w:rPr>
              <w:t>评选基准价：通过资格及符合性审查的报价中去掉六分之一（不能整除的按小数前整数取整，不足六家报价则不去掉）的最低价和相同家数的最高价后的算术平均值即为评选基准价。</w:t>
            </w:r>
          </w:p>
        </w:tc>
        <w:tc>
          <w:tcPr>
            <w:tcW w:w="1736" w:type="dxa"/>
            <w:noWrap/>
            <w:vAlign w:val="center"/>
          </w:tcPr>
          <w:p>
            <w:pPr>
              <w:ind w:left="90" w:leftChars="45" w:right="114" w:rightChars="57"/>
              <w:rPr>
                <w:color w:val="auto"/>
                <w:sz w:val="24"/>
                <w:szCs w:val="24"/>
                <w:highlight w:val="none"/>
              </w:rPr>
            </w:pPr>
            <w:r>
              <w:rPr>
                <w:rFonts w:hint="eastAsia" w:ascii="宋体" w:hAnsi="宋体"/>
                <w:color w:val="auto"/>
                <w:sz w:val="24"/>
                <w:szCs w:val="24"/>
                <w:highlight w:val="none"/>
              </w:rPr>
              <w:t>得分保留小数点后两位，四舍五入。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41" w:type="dxa"/>
            <w:vMerge w:val="restart"/>
            <w:noWrap/>
            <w:vAlign w:val="center"/>
          </w:tcPr>
          <w:p>
            <w:pPr>
              <w:jc w:val="center"/>
              <w:rPr>
                <w:color w:val="auto"/>
                <w:sz w:val="24"/>
                <w:szCs w:val="24"/>
                <w:highlight w:val="none"/>
              </w:rPr>
            </w:pPr>
            <w:r>
              <w:rPr>
                <w:rFonts w:hint="eastAsia"/>
                <w:color w:val="auto"/>
                <w:sz w:val="24"/>
                <w:szCs w:val="24"/>
                <w:highlight w:val="none"/>
              </w:rPr>
              <w:t>2</w:t>
            </w:r>
          </w:p>
        </w:tc>
        <w:tc>
          <w:tcPr>
            <w:tcW w:w="1240" w:type="dxa"/>
            <w:vMerge w:val="restart"/>
            <w:noWrap/>
            <w:vAlign w:val="center"/>
          </w:tcPr>
          <w:p>
            <w:pPr>
              <w:jc w:val="center"/>
              <w:rPr>
                <w:color w:val="auto"/>
                <w:sz w:val="24"/>
                <w:szCs w:val="24"/>
                <w:highlight w:val="none"/>
              </w:rPr>
            </w:pPr>
            <w:r>
              <w:rPr>
                <w:rFonts w:hint="eastAsia"/>
                <w:color w:val="auto"/>
                <w:sz w:val="24"/>
                <w:szCs w:val="24"/>
                <w:highlight w:val="none"/>
              </w:rPr>
              <w:t>服务部分</w:t>
            </w:r>
          </w:p>
          <w:p>
            <w:pPr>
              <w:jc w:val="center"/>
              <w:rPr>
                <w:color w:val="auto"/>
                <w:sz w:val="24"/>
                <w:szCs w:val="24"/>
                <w:highlight w:val="none"/>
              </w:rPr>
            </w:pPr>
            <w:r>
              <w:rPr>
                <w:rFonts w:hint="eastAsia"/>
                <w:color w:val="auto"/>
                <w:sz w:val="24"/>
                <w:szCs w:val="24"/>
                <w:highlight w:val="none"/>
              </w:rPr>
              <w:t>（60%）</w:t>
            </w:r>
          </w:p>
        </w:tc>
        <w:tc>
          <w:tcPr>
            <w:tcW w:w="1275" w:type="dxa"/>
            <w:tcBorders>
              <w:bottom w:val="single" w:color="000000" w:sz="4" w:space="0"/>
            </w:tcBorders>
            <w:noWrap/>
            <w:vAlign w:val="center"/>
          </w:tcPr>
          <w:p>
            <w:pPr>
              <w:jc w:val="center"/>
              <w:rPr>
                <w:color w:val="auto"/>
                <w:sz w:val="24"/>
                <w:szCs w:val="24"/>
                <w:highlight w:val="none"/>
              </w:rPr>
            </w:pPr>
            <w:r>
              <w:rPr>
                <w:rFonts w:hint="eastAsia"/>
                <w:color w:val="auto"/>
                <w:sz w:val="24"/>
                <w:szCs w:val="24"/>
                <w:highlight w:val="none"/>
              </w:rPr>
              <w:t>总体方案</w:t>
            </w:r>
          </w:p>
          <w:p>
            <w:pPr>
              <w:jc w:val="center"/>
              <w:rPr>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0</w:t>
            </w:r>
            <w:r>
              <w:rPr>
                <w:rFonts w:hint="eastAsia"/>
                <w:color w:val="auto"/>
                <w:sz w:val="24"/>
                <w:szCs w:val="24"/>
                <w:highlight w:val="none"/>
              </w:rPr>
              <w:t>分）</w:t>
            </w:r>
          </w:p>
        </w:tc>
        <w:tc>
          <w:tcPr>
            <w:tcW w:w="4962" w:type="dxa"/>
            <w:tcBorders>
              <w:bottom w:val="single" w:color="000000" w:sz="4" w:space="0"/>
            </w:tcBorders>
            <w:noWrap/>
            <w:vAlign w:val="center"/>
          </w:tcPr>
          <w:p>
            <w:pPr>
              <w:ind w:right="90" w:rightChars="45"/>
              <w:rPr>
                <w:rFonts w:ascii="宋体" w:hAnsi="宋体"/>
                <w:color w:val="auto"/>
                <w:sz w:val="24"/>
                <w:szCs w:val="24"/>
                <w:highlight w:val="none"/>
              </w:rPr>
            </w:pPr>
            <w:r>
              <w:rPr>
                <w:rFonts w:hint="eastAsia" w:ascii="宋体" w:hAnsi="宋体"/>
                <w:color w:val="auto"/>
                <w:sz w:val="24"/>
                <w:szCs w:val="24"/>
                <w:highlight w:val="none"/>
              </w:rPr>
              <w:t>针对本项目提供完整的VIS形象设计、平台建设等服务方案。</w:t>
            </w:r>
          </w:p>
          <w:p>
            <w:pPr>
              <w:ind w:right="90" w:rightChars="45"/>
              <w:rPr>
                <w:rFonts w:ascii="宋体" w:hAnsi="宋体"/>
                <w:color w:val="auto"/>
                <w:sz w:val="24"/>
                <w:szCs w:val="24"/>
                <w:highlight w:val="none"/>
              </w:rPr>
            </w:pPr>
            <w:r>
              <w:rPr>
                <w:rFonts w:hint="eastAsia" w:ascii="宋体" w:hAnsi="宋体"/>
                <w:color w:val="auto"/>
                <w:sz w:val="24"/>
                <w:szCs w:val="24"/>
                <w:highlight w:val="none"/>
              </w:rPr>
              <w:t>方案非常合理、针对性强、非常全面可行的得20分；较合理、针对性较强、较全面、较可行的得14分；方案不够合理、针对性不够强、不够全面、不够可行的得8分；方案不合理、针对性不强、不全面、不可行的得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未提供或言之无物</w:t>
            </w:r>
            <w:r>
              <w:rPr>
                <w:rFonts w:hint="eastAsia" w:ascii="宋体" w:hAnsi="宋体"/>
                <w:color w:val="auto"/>
                <w:sz w:val="24"/>
                <w:szCs w:val="24"/>
                <w:highlight w:val="none"/>
              </w:rPr>
              <w:t>不得分。</w:t>
            </w:r>
          </w:p>
        </w:tc>
        <w:tc>
          <w:tcPr>
            <w:tcW w:w="1736" w:type="dxa"/>
            <w:vMerge w:val="restart"/>
            <w:noWrap/>
            <w:vAlign w:val="center"/>
          </w:tcPr>
          <w:p>
            <w:pPr>
              <w:ind w:right="90" w:rightChars="45"/>
              <w:rPr>
                <w:rFonts w:ascii="宋体" w:hAnsi="宋体"/>
                <w:color w:val="auto"/>
                <w:sz w:val="24"/>
                <w:szCs w:val="24"/>
                <w:highlight w:val="none"/>
              </w:rPr>
            </w:pPr>
            <w:r>
              <w:rPr>
                <w:rFonts w:hint="eastAsia" w:ascii="宋体" w:hAnsi="宋体"/>
                <w:color w:val="auto"/>
                <w:sz w:val="24"/>
                <w:szCs w:val="24"/>
                <w:highlight w:val="none"/>
              </w:rPr>
              <w:t>评选小组对竞选单位所提供的服务方案独立评分。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jc w:val="center"/>
              <w:rPr>
                <w:color w:val="auto"/>
                <w:sz w:val="24"/>
                <w:szCs w:val="24"/>
                <w:highlight w:val="none"/>
              </w:rPr>
            </w:pPr>
            <w:r>
              <w:rPr>
                <w:rFonts w:hint="eastAsia"/>
                <w:color w:val="auto"/>
                <w:sz w:val="24"/>
                <w:szCs w:val="24"/>
                <w:highlight w:val="none"/>
              </w:rPr>
              <w:t>功能模块</w:t>
            </w:r>
          </w:p>
          <w:p>
            <w:pPr>
              <w:jc w:val="center"/>
              <w:rPr>
                <w:color w:val="auto"/>
                <w:highlight w:val="none"/>
              </w:rPr>
            </w:pPr>
            <w:r>
              <w:rPr>
                <w:rFonts w:hint="eastAsia"/>
                <w:color w:val="auto"/>
                <w:sz w:val="24"/>
                <w:szCs w:val="24"/>
                <w:highlight w:val="none"/>
              </w:rPr>
              <w:t>（20分）</w:t>
            </w:r>
          </w:p>
        </w:tc>
        <w:tc>
          <w:tcPr>
            <w:tcW w:w="4962" w:type="dxa"/>
            <w:noWrap/>
            <w:vAlign w:val="center"/>
          </w:tcPr>
          <w:p>
            <w:pPr>
              <w:ind w:right="90" w:rightChars="45"/>
              <w:rPr>
                <w:rFonts w:hint="default" w:ascii="宋体" w:hAnsi="宋体"/>
                <w:color w:val="auto"/>
                <w:sz w:val="24"/>
                <w:szCs w:val="24"/>
                <w:highlight w:val="none"/>
                <w:lang w:val="en-US"/>
              </w:rPr>
            </w:pPr>
            <w:r>
              <w:rPr>
                <w:rFonts w:hint="eastAsia" w:ascii="宋体" w:hAnsi="宋体"/>
                <w:color w:val="auto"/>
                <w:sz w:val="24"/>
                <w:szCs w:val="24"/>
                <w:highlight w:val="none"/>
              </w:rPr>
              <w:t>网站功能</w:t>
            </w:r>
            <w:r>
              <w:rPr>
                <w:rFonts w:hint="eastAsia" w:ascii="宋体" w:hAnsi="宋体"/>
                <w:color w:val="auto"/>
                <w:sz w:val="24"/>
                <w:szCs w:val="24"/>
                <w:highlight w:val="none"/>
                <w:lang w:val="en-US" w:eastAsia="zh-CN"/>
              </w:rPr>
              <w:t>及信息量</w:t>
            </w:r>
            <w:r>
              <w:rPr>
                <w:rFonts w:hint="eastAsia" w:ascii="宋体" w:hAnsi="宋体"/>
                <w:color w:val="auto"/>
                <w:sz w:val="24"/>
                <w:szCs w:val="24"/>
                <w:highlight w:val="none"/>
              </w:rPr>
              <w:t>完备，架构清晰，充分满足官网建设需求</w:t>
            </w:r>
            <w:r>
              <w:rPr>
                <w:rFonts w:hint="eastAsia" w:ascii="宋体" w:hAnsi="宋体"/>
                <w:color w:val="auto"/>
                <w:sz w:val="24"/>
                <w:szCs w:val="24"/>
                <w:highlight w:val="none"/>
                <w:lang w:val="en-US" w:eastAsia="zh-CN"/>
              </w:rPr>
              <w:t>得20</w:t>
            </w:r>
            <w:r>
              <w:rPr>
                <w:rFonts w:hint="eastAsia" w:ascii="宋体" w:hAnsi="宋体"/>
                <w:color w:val="auto"/>
                <w:sz w:val="24"/>
                <w:szCs w:val="24"/>
                <w:highlight w:val="none"/>
              </w:rPr>
              <w:t>分；网站功能</w:t>
            </w:r>
            <w:r>
              <w:rPr>
                <w:rFonts w:hint="eastAsia" w:ascii="宋体" w:hAnsi="宋体"/>
                <w:color w:val="auto"/>
                <w:sz w:val="24"/>
                <w:szCs w:val="24"/>
                <w:highlight w:val="none"/>
                <w:lang w:val="en-US" w:eastAsia="zh-CN"/>
              </w:rPr>
              <w:t>及信息量较</w:t>
            </w:r>
            <w:r>
              <w:rPr>
                <w:rFonts w:hint="eastAsia" w:ascii="宋体" w:hAnsi="宋体"/>
                <w:color w:val="auto"/>
                <w:sz w:val="24"/>
                <w:szCs w:val="24"/>
                <w:highlight w:val="none"/>
              </w:rPr>
              <w:t>完备，但架构不清晰，或有遗漏</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分；网站</w:t>
            </w:r>
            <w:r>
              <w:rPr>
                <w:rFonts w:hint="eastAsia" w:ascii="宋体" w:hAnsi="宋体"/>
                <w:color w:val="auto"/>
                <w:sz w:val="24"/>
                <w:szCs w:val="24"/>
                <w:highlight w:val="none"/>
                <w:lang w:val="en-US" w:eastAsia="zh-CN"/>
              </w:rPr>
              <w:t>功能及</w:t>
            </w:r>
            <w:r>
              <w:rPr>
                <w:rFonts w:hint="eastAsia" w:ascii="宋体" w:hAnsi="宋体"/>
                <w:color w:val="auto"/>
                <w:sz w:val="24"/>
                <w:szCs w:val="24"/>
                <w:highlight w:val="none"/>
              </w:rPr>
              <w:t>信息量不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完整，架构不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清晰</w:t>
            </w:r>
            <w:r>
              <w:rPr>
                <w:rFonts w:hint="eastAsia" w:ascii="宋体" w:hAnsi="宋体"/>
                <w:color w:val="auto"/>
                <w:sz w:val="24"/>
                <w:szCs w:val="24"/>
                <w:highlight w:val="none"/>
                <w:lang w:val="en-US" w:eastAsia="zh-CN"/>
              </w:rPr>
              <w:t>得10分；网站功能及信息量欠缺较多，架构不清晰或仅提出一点大纲得5分；未提供不得分。</w:t>
            </w:r>
          </w:p>
        </w:tc>
        <w:tc>
          <w:tcPr>
            <w:tcW w:w="1736" w:type="dxa"/>
            <w:vMerge w:val="continue"/>
            <w:noWrap/>
            <w:vAlign w:val="center"/>
          </w:tcPr>
          <w:p>
            <w:pPr>
              <w:ind w:left="90" w:leftChars="45" w:right="90"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ind w:firstLine="28"/>
              <w:jc w:val="center"/>
              <w:rPr>
                <w:rFonts w:ascii="宋体" w:hAnsi="宋体"/>
                <w:color w:val="auto"/>
                <w:sz w:val="24"/>
                <w:szCs w:val="24"/>
                <w:highlight w:val="none"/>
              </w:rPr>
            </w:pPr>
            <w:r>
              <w:rPr>
                <w:rFonts w:hint="eastAsia" w:ascii="宋体" w:hAnsi="宋体"/>
                <w:color w:val="auto"/>
                <w:sz w:val="24"/>
                <w:szCs w:val="24"/>
                <w:highlight w:val="none"/>
              </w:rPr>
              <w:t>时间控制（10分）</w:t>
            </w:r>
          </w:p>
        </w:tc>
        <w:tc>
          <w:tcPr>
            <w:tcW w:w="4962" w:type="dxa"/>
            <w:noWrap/>
            <w:vAlign w:val="center"/>
          </w:tcPr>
          <w:p>
            <w:pPr>
              <w:ind w:right="90" w:rightChars="45"/>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开发周期</w:t>
            </w:r>
            <w:r>
              <w:rPr>
                <w:rFonts w:hint="eastAsia" w:ascii="宋体" w:hAnsi="宋体"/>
                <w:color w:val="auto"/>
                <w:sz w:val="24"/>
                <w:szCs w:val="24"/>
                <w:highlight w:val="none"/>
                <w:lang w:val="en-US" w:eastAsia="zh-CN"/>
              </w:rPr>
              <w:t>流程</w:t>
            </w:r>
            <w:r>
              <w:rPr>
                <w:rFonts w:hint="eastAsia" w:ascii="宋体" w:hAnsi="宋体"/>
                <w:color w:val="auto"/>
                <w:sz w:val="24"/>
                <w:szCs w:val="24"/>
                <w:highlight w:val="none"/>
              </w:rPr>
              <w:t>合理, 可按时间节点完成网站设计</w:t>
            </w:r>
            <w:r>
              <w:rPr>
                <w:rFonts w:hint="eastAsia" w:ascii="宋体" w:hAnsi="宋体"/>
                <w:color w:val="auto"/>
                <w:sz w:val="24"/>
                <w:szCs w:val="24"/>
                <w:highlight w:val="none"/>
                <w:lang w:val="en-US" w:eastAsia="zh-CN"/>
              </w:rPr>
              <w:t>得10分；开发周期</w:t>
            </w:r>
            <w:r>
              <w:rPr>
                <w:rFonts w:hint="eastAsia" w:ascii="宋体" w:hAnsi="宋体"/>
                <w:color w:val="auto"/>
                <w:sz w:val="24"/>
                <w:szCs w:val="24"/>
                <w:highlight w:val="none"/>
              </w:rPr>
              <w:t>流程基本合理, 时间节点把控有</w:t>
            </w:r>
            <w:r>
              <w:rPr>
                <w:rFonts w:hint="eastAsia" w:ascii="宋体" w:hAnsi="宋体"/>
                <w:color w:val="auto"/>
                <w:sz w:val="24"/>
                <w:szCs w:val="24"/>
                <w:highlight w:val="none"/>
                <w:lang w:val="en-US" w:eastAsia="zh-CN"/>
              </w:rPr>
              <w:t>些许</w:t>
            </w:r>
            <w:r>
              <w:rPr>
                <w:rFonts w:hint="eastAsia" w:ascii="宋体" w:hAnsi="宋体"/>
                <w:color w:val="auto"/>
                <w:sz w:val="24"/>
                <w:szCs w:val="24"/>
                <w:highlight w:val="none"/>
              </w:rPr>
              <w:t>遗漏</w:t>
            </w:r>
            <w:r>
              <w:rPr>
                <w:rFonts w:hint="eastAsia" w:ascii="宋体" w:hAnsi="宋体"/>
                <w:color w:val="auto"/>
                <w:sz w:val="24"/>
                <w:szCs w:val="24"/>
                <w:highlight w:val="none"/>
                <w:lang w:val="en-US" w:eastAsia="zh-CN"/>
              </w:rPr>
              <w:t>得7分；</w:t>
            </w:r>
            <w:r>
              <w:rPr>
                <w:rFonts w:hint="eastAsia" w:ascii="宋体" w:hAnsi="宋体"/>
                <w:color w:val="auto"/>
                <w:sz w:val="24"/>
                <w:szCs w:val="24"/>
                <w:highlight w:val="none"/>
              </w:rPr>
              <w:t>流程不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合理,</w:t>
            </w:r>
            <w:r>
              <w:rPr>
                <w:rFonts w:hint="eastAsia" w:ascii="宋体" w:hAnsi="宋体"/>
                <w:color w:val="auto"/>
                <w:sz w:val="24"/>
                <w:szCs w:val="24"/>
                <w:highlight w:val="none"/>
                <w:lang w:val="en-US" w:eastAsia="zh-CN"/>
              </w:rPr>
              <w:t>对时间节点把握不够有力得4分；</w:t>
            </w:r>
            <w:r>
              <w:rPr>
                <w:rFonts w:hint="eastAsia" w:ascii="宋体" w:hAnsi="宋体"/>
                <w:color w:val="auto"/>
                <w:sz w:val="24"/>
                <w:szCs w:val="24"/>
                <w:highlight w:val="none"/>
              </w:rPr>
              <w:t>无法按时间节点完成</w:t>
            </w:r>
            <w:r>
              <w:rPr>
                <w:rFonts w:hint="eastAsia" w:ascii="宋体" w:hAnsi="宋体"/>
                <w:color w:val="auto"/>
                <w:sz w:val="24"/>
                <w:szCs w:val="24"/>
                <w:highlight w:val="none"/>
                <w:lang w:val="en-US" w:eastAsia="zh-CN"/>
              </w:rPr>
              <w:t>不得分。</w:t>
            </w:r>
          </w:p>
        </w:tc>
        <w:tc>
          <w:tcPr>
            <w:tcW w:w="1736" w:type="dxa"/>
            <w:vMerge w:val="continue"/>
            <w:noWrap/>
            <w:vAlign w:val="center"/>
          </w:tcPr>
          <w:p>
            <w:pPr>
              <w:ind w:left="90" w:leftChars="45" w:right="90"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spacing w:line="320" w:lineRule="exact"/>
              <w:jc w:val="center"/>
              <w:rPr>
                <w:rFonts w:ascii="宋体" w:hAnsi="宋体"/>
                <w:color w:val="auto"/>
                <w:sz w:val="24"/>
                <w:szCs w:val="24"/>
                <w:highlight w:val="none"/>
              </w:rPr>
            </w:pPr>
            <w:r>
              <w:rPr>
                <w:rFonts w:hint="eastAsia" w:ascii="宋体" w:hAnsi="宋体"/>
                <w:color w:val="auto"/>
                <w:sz w:val="24"/>
                <w:szCs w:val="24"/>
                <w:highlight w:val="none"/>
              </w:rPr>
              <w:t>建设保障</w:t>
            </w:r>
          </w:p>
          <w:p>
            <w:pPr>
              <w:jc w:val="center"/>
              <w:outlineLvl w:val="9"/>
              <w:rPr>
                <w:color w:val="auto"/>
                <w:highlight w:val="none"/>
              </w:rPr>
            </w:pPr>
            <w:bookmarkStart w:id="76" w:name="_Toc862"/>
            <w:bookmarkStart w:id="77" w:name="_Toc22702"/>
            <w:r>
              <w:rPr>
                <w:rFonts w:hint="eastAsia" w:hAnsi="宋体"/>
                <w:color w:val="auto"/>
                <w:sz w:val="24"/>
                <w:szCs w:val="24"/>
                <w:highlight w:val="none"/>
              </w:rPr>
              <w:t>（10分）</w:t>
            </w:r>
            <w:bookmarkEnd w:id="76"/>
            <w:bookmarkEnd w:id="77"/>
          </w:p>
          <w:p>
            <w:pPr>
              <w:ind w:firstLine="28"/>
              <w:jc w:val="center"/>
              <w:rPr>
                <w:rFonts w:ascii="宋体" w:hAnsi="宋体"/>
                <w:color w:val="auto"/>
                <w:sz w:val="24"/>
                <w:szCs w:val="24"/>
                <w:highlight w:val="none"/>
              </w:rPr>
            </w:pPr>
          </w:p>
        </w:tc>
        <w:tc>
          <w:tcPr>
            <w:tcW w:w="4962" w:type="dxa"/>
            <w:noWrap/>
            <w:vAlign w:val="center"/>
          </w:tcPr>
          <w:p>
            <w:pPr>
              <w:ind w:right="90" w:rightChars="45"/>
              <w:rPr>
                <w:rFonts w:ascii="宋体" w:hAnsi="宋体"/>
                <w:color w:val="auto"/>
                <w:sz w:val="24"/>
                <w:szCs w:val="24"/>
                <w:highlight w:val="none"/>
              </w:rPr>
            </w:pPr>
            <w:r>
              <w:rPr>
                <w:rFonts w:hint="eastAsia" w:ascii="宋体" w:hAnsi="宋体"/>
                <w:color w:val="auto"/>
                <w:sz w:val="24"/>
                <w:szCs w:val="24"/>
                <w:highlight w:val="none"/>
              </w:rPr>
              <w:t>提供针对本项目日常或后期出现的bug问题能做到及时处理，并有专岗人员进行日常维护。优得10分；良得7分；一般得4分；差</w:t>
            </w:r>
            <w:r>
              <w:rPr>
                <w:rFonts w:hint="eastAsia" w:ascii="宋体" w:hAnsi="宋体"/>
                <w:color w:val="auto"/>
                <w:sz w:val="24"/>
                <w:szCs w:val="24"/>
                <w:highlight w:val="none"/>
                <w:lang w:val="en-US" w:eastAsia="zh-CN"/>
              </w:rPr>
              <w:t>得1分；</w:t>
            </w:r>
            <w:r>
              <w:rPr>
                <w:rFonts w:hint="eastAsia" w:ascii="宋体" w:hAnsi="宋体"/>
                <w:color w:val="auto"/>
                <w:sz w:val="24"/>
                <w:szCs w:val="24"/>
                <w:highlight w:val="none"/>
              </w:rPr>
              <w:t>未提供方案不得分。</w:t>
            </w:r>
          </w:p>
        </w:tc>
        <w:tc>
          <w:tcPr>
            <w:tcW w:w="1736" w:type="dxa"/>
            <w:vMerge w:val="continue"/>
            <w:noWrap/>
            <w:vAlign w:val="center"/>
          </w:tcPr>
          <w:p>
            <w:pPr>
              <w:ind w:left="90" w:leftChars="45" w:right="90"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noWrap/>
            <w:vAlign w:val="center"/>
          </w:tcPr>
          <w:p>
            <w:pPr>
              <w:jc w:val="center"/>
              <w:rPr>
                <w:color w:val="auto"/>
                <w:sz w:val="24"/>
                <w:szCs w:val="24"/>
                <w:highlight w:val="none"/>
              </w:rPr>
            </w:pPr>
            <w:r>
              <w:rPr>
                <w:rFonts w:hint="eastAsia"/>
                <w:color w:val="auto"/>
                <w:sz w:val="24"/>
                <w:szCs w:val="24"/>
                <w:highlight w:val="none"/>
              </w:rPr>
              <w:t>3</w:t>
            </w:r>
          </w:p>
        </w:tc>
        <w:tc>
          <w:tcPr>
            <w:tcW w:w="1240" w:type="dxa"/>
            <w:noWrap/>
            <w:vAlign w:val="center"/>
          </w:tcPr>
          <w:p>
            <w:pPr>
              <w:jc w:val="center"/>
              <w:rPr>
                <w:color w:val="auto"/>
                <w:sz w:val="24"/>
                <w:szCs w:val="24"/>
                <w:highlight w:val="none"/>
              </w:rPr>
            </w:pPr>
            <w:r>
              <w:rPr>
                <w:rFonts w:hint="eastAsia"/>
                <w:color w:val="auto"/>
                <w:sz w:val="24"/>
                <w:szCs w:val="24"/>
                <w:highlight w:val="none"/>
              </w:rPr>
              <w:t>商务部分（20%）</w:t>
            </w:r>
          </w:p>
        </w:tc>
        <w:tc>
          <w:tcPr>
            <w:tcW w:w="1275" w:type="dxa"/>
            <w:noWrap/>
            <w:vAlign w:val="center"/>
          </w:tcPr>
          <w:p>
            <w:pPr>
              <w:ind w:firstLine="28"/>
              <w:jc w:val="center"/>
              <w:rPr>
                <w:rFonts w:ascii="宋体" w:hAnsi="宋体"/>
                <w:color w:val="auto"/>
                <w:sz w:val="24"/>
                <w:szCs w:val="24"/>
                <w:highlight w:val="none"/>
              </w:rPr>
            </w:pPr>
            <w:r>
              <w:rPr>
                <w:rFonts w:hint="eastAsia" w:ascii="宋体" w:hAnsi="宋体"/>
                <w:color w:val="auto"/>
                <w:sz w:val="24"/>
                <w:szCs w:val="24"/>
                <w:highlight w:val="none"/>
              </w:rPr>
              <w:t>类似</w:t>
            </w:r>
            <w:r>
              <w:rPr>
                <w:rFonts w:hint="eastAsia" w:ascii="宋体" w:hAnsi="宋体"/>
                <w:color w:val="auto"/>
                <w:sz w:val="24"/>
                <w:szCs w:val="24"/>
                <w:highlight w:val="none"/>
                <w:lang w:val="en-US" w:eastAsia="zh-CN"/>
              </w:rPr>
              <w:t>经验案例</w:t>
            </w:r>
            <w:r>
              <w:rPr>
                <w:rFonts w:hint="eastAsia" w:ascii="宋体" w:hAnsi="宋体"/>
                <w:color w:val="auto"/>
                <w:sz w:val="24"/>
                <w:szCs w:val="24"/>
                <w:highlight w:val="none"/>
              </w:rPr>
              <w:t>（20分）</w:t>
            </w:r>
          </w:p>
        </w:tc>
        <w:tc>
          <w:tcPr>
            <w:tcW w:w="4962" w:type="dxa"/>
            <w:noWrap/>
            <w:vAlign w:val="center"/>
          </w:tcPr>
          <w:p>
            <w:pPr>
              <w:ind w:right="90" w:rightChars="45"/>
              <w:rPr>
                <w:rFonts w:ascii="宋体" w:hAnsi="宋体"/>
                <w:color w:val="auto"/>
                <w:sz w:val="24"/>
                <w:szCs w:val="24"/>
                <w:highlight w:val="none"/>
              </w:rPr>
            </w:pPr>
            <w:r>
              <w:rPr>
                <w:rFonts w:hint="eastAsia" w:ascii="宋体" w:hAnsi="宋体"/>
                <w:color w:val="auto"/>
                <w:sz w:val="24"/>
                <w:szCs w:val="24"/>
                <w:highlight w:val="none"/>
              </w:rPr>
              <w:t xml:space="preserve">具有工业互联网开发经验并运营及品牌策划与推广1年以上的得20分；具有平台类建设及1年内运营经验的得13分；有平台建设无运营经验的得6分；无平台建设经验不得分。     </w:t>
            </w:r>
          </w:p>
        </w:tc>
        <w:tc>
          <w:tcPr>
            <w:tcW w:w="1736" w:type="dxa"/>
            <w:noWrap/>
            <w:vAlign w:val="center"/>
          </w:tcPr>
          <w:p>
            <w:pPr>
              <w:ind w:left="90" w:leftChars="45" w:right="90" w:rightChars="4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提供合同或案例介绍图文（图文格式自拟）复印件加盖竞选人公章。</w:t>
            </w:r>
          </w:p>
        </w:tc>
      </w:tr>
    </w:tbl>
    <w:p>
      <w:pPr>
        <w:rPr>
          <w:color w:val="auto"/>
          <w:highlight w:val="none"/>
        </w:rPr>
      </w:pPr>
    </w:p>
    <w:p>
      <w:pPr>
        <w:pStyle w:val="6"/>
        <w:spacing w:before="0" w:after="0" w:line="480" w:lineRule="exact"/>
        <w:rPr>
          <w:rFonts w:ascii="宋体" w:hAnsi="宋体"/>
          <w:color w:val="auto"/>
          <w:sz w:val="28"/>
          <w:szCs w:val="28"/>
          <w:highlight w:val="none"/>
        </w:rPr>
      </w:pPr>
      <w:bookmarkStart w:id="78" w:name="_Toc25466"/>
      <w:bookmarkStart w:id="79" w:name="_Toc428437947"/>
      <w:bookmarkStart w:id="80" w:name="_Toc27689"/>
      <w:r>
        <w:rPr>
          <w:rFonts w:hint="eastAsia" w:ascii="宋体" w:hAnsi="宋体"/>
          <w:color w:val="auto"/>
          <w:sz w:val="28"/>
          <w:szCs w:val="28"/>
          <w:highlight w:val="none"/>
        </w:rPr>
        <w:t>三、无效响应</w:t>
      </w:r>
      <w:bookmarkEnd w:id="78"/>
      <w:bookmarkEnd w:id="79"/>
      <w:bookmarkEnd w:id="80"/>
    </w:p>
    <w:p>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竞选人发生以下条款情况之一者，视为无效响应，其竞选文件将被拒绝：</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竞选人未通过资格性检查或竞选文件未通过符合性检查的；</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竞选人的法定代表人或其授权代表未参加比选；</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竞选人所提交的竞选文件不按第七篇“竞选文件格式要求”规定签字、盖章；</w:t>
      </w:r>
    </w:p>
    <w:p>
      <w:pPr>
        <w:numPr>
          <w:ilvl w:val="0"/>
          <w:numId w:val="8"/>
        </w:numPr>
        <w:snapToGrid w:val="0"/>
        <w:spacing w:line="440" w:lineRule="exact"/>
        <w:ind w:left="0" w:firstLine="400" w:firstLineChars="200"/>
        <w:rPr>
          <w:rFonts w:ascii="宋体" w:hAnsi="宋体"/>
          <w:color w:val="auto"/>
          <w:szCs w:val="28"/>
          <w:highlight w:val="none"/>
        </w:rPr>
      </w:pPr>
      <w:r>
        <w:rPr>
          <w:rFonts w:ascii="宋体" w:hAnsi="宋体"/>
          <w:color w:val="auto"/>
          <w:szCs w:val="28"/>
          <w:highlight w:val="none"/>
        </w:rPr>
        <w:t>单位负责人为同一人或者存在直接控股、管理关系的不同</w:t>
      </w:r>
      <w:r>
        <w:rPr>
          <w:rFonts w:hint="eastAsia" w:ascii="宋体" w:hAnsi="宋体"/>
          <w:color w:val="auto"/>
          <w:szCs w:val="28"/>
          <w:highlight w:val="none"/>
        </w:rPr>
        <w:t>竞选人</w:t>
      </w:r>
      <w:r>
        <w:rPr>
          <w:rFonts w:ascii="宋体" w:hAnsi="宋体"/>
          <w:color w:val="auto"/>
          <w:szCs w:val="28"/>
          <w:highlight w:val="none"/>
        </w:rPr>
        <w:t>，参加同一合同项下的</w:t>
      </w:r>
      <w:r>
        <w:rPr>
          <w:rFonts w:hint="eastAsia" w:ascii="宋体" w:hAnsi="宋体"/>
          <w:color w:val="auto"/>
          <w:szCs w:val="28"/>
          <w:highlight w:val="none"/>
        </w:rPr>
        <w:t>比选的；</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竞选人竞选文件内容有与国家现行法律法规相违背的内容，或附有比选人无法接受的条件。</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响应内容不符合必须强制执行的国家标准的；</w:t>
      </w:r>
    </w:p>
    <w:p>
      <w:pPr>
        <w:numPr>
          <w:ilvl w:val="0"/>
          <w:numId w:val="8"/>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竞选人提供虚假材料的。</w:t>
      </w:r>
    </w:p>
    <w:p>
      <w:pPr>
        <w:snapToGrid w:val="0"/>
        <w:spacing w:line="400" w:lineRule="exact"/>
        <w:outlineLvl w:val="2"/>
        <w:rPr>
          <w:rFonts w:hint="eastAsia" w:ascii="宋体" w:hAnsi="宋体" w:eastAsia="宋体" w:cs="Times New Roman"/>
          <w:b/>
          <w:color w:val="auto"/>
          <w:kern w:val="0"/>
          <w:sz w:val="28"/>
          <w:szCs w:val="28"/>
          <w:highlight w:val="none"/>
          <w:lang w:val="en-US" w:eastAsia="zh-CN" w:bidi="ar-SA"/>
        </w:rPr>
      </w:pPr>
      <w:bookmarkStart w:id="81" w:name="_Toc428437948"/>
      <w:bookmarkStart w:id="82" w:name="_Toc17675"/>
      <w:r>
        <w:rPr>
          <w:rFonts w:hint="eastAsia" w:ascii="宋体" w:hAnsi="宋体" w:eastAsia="宋体" w:cs="Times New Roman"/>
          <w:b/>
          <w:color w:val="auto"/>
          <w:kern w:val="0"/>
          <w:sz w:val="28"/>
          <w:szCs w:val="28"/>
          <w:highlight w:val="none"/>
          <w:lang w:val="en-US" w:eastAsia="zh-CN" w:bidi="ar-SA"/>
        </w:rPr>
        <w:t>四、</w:t>
      </w:r>
      <w:bookmarkEnd w:id="74"/>
      <w:bookmarkEnd w:id="75"/>
      <w:r>
        <w:rPr>
          <w:rFonts w:hint="eastAsia" w:ascii="宋体" w:hAnsi="宋体" w:eastAsia="宋体" w:cs="Times New Roman"/>
          <w:b/>
          <w:color w:val="auto"/>
          <w:kern w:val="0"/>
          <w:sz w:val="28"/>
          <w:szCs w:val="28"/>
          <w:highlight w:val="none"/>
          <w:lang w:val="en-US" w:eastAsia="zh-CN" w:bidi="ar-SA"/>
        </w:rPr>
        <w:t>比选终止</w:t>
      </w:r>
      <w:bookmarkEnd w:id="81"/>
      <w:bookmarkEnd w:id="82"/>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出现下列情形之一的，比选人或者比选代理机构应当终止竞争性比选，发布项目终止公告并说明原因，重新开展比选：</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（一）因情况变化，不再符合规定的竞争性比选方式适用情形的；</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（二）出现影响比选公正的违法、违规行为的；</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（三）在比选过程中通过资格及符合性审查的竞选人不足2家的。</w:t>
      </w:r>
    </w:p>
    <w:p>
      <w:pPr>
        <w:spacing w:line="360" w:lineRule="auto"/>
        <w:ind w:firstLine="400" w:firstLineChars="200"/>
        <w:rPr>
          <w:rFonts w:ascii="宋体" w:hAnsi="宋体"/>
          <w:color w:val="auto"/>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pPr>
        <w:pStyle w:val="5"/>
        <w:spacing w:before="0" w:after="0" w:line="360" w:lineRule="auto"/>
        <w:jc w:val="center"/>
        <w:rPr>
          <w:rFonts w:ascii="宋体" w:hAnsi="宋体" w:eastAsia="宋体"/>
          <w:color w:val="auto"/>
          <w:sz w:val="36"/>
          <w:szCs w:val="36"/>
          <w:highlight w:val="none"/>
        </w:rPr>
      </w:pPr>
      <w:bookmarkStart w:id="83" w:name="_Hlt41879464"/>
      <w:bookmarkEnd w:id="83"/>
      <w:bookmarkStart w:id="84" w:name="_Toc26653"/>
      <w:bookmarkStart w:id="85" w:name="_Toc23890"/>
      <w:bookmarkStart w:id="86" w:name="_Toc12789072"/>
      <w:r>
        <w:rPr>
          <w:rFonts w:hint="eastAsia" w:ascii="宋体" w:hAnsi="宋体" w:eastAsia="宋体"/>
          <w:color w:val="auto"/>
          <w:sz w:val="36"/>
          <w:szCs w:val="36"/>
          <w:highlight w:val="none"/>
        </w:rPr>
        <w:t>第五篇  竞选人须知</w:t>
      </w:r>
      <w:bookmarkEnd w:id="84"/>
      <w:bookmarkEnd w:id="85"/>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87" w:name="_Toc428437950"/>
      <w:bookmarkStart w:id="88" w:name="_Toc28140"/>
      <w:bookmarkStart w:id="89" w:name="_Toc9491"/>
      <w:r>
        <w:rPr>
          <w:rFonts w:hint="eastAsia" w:asciiTheme="minorEastAsia" w:hAnsiTheme="minorEastAsia" w:eastAsiaTheme="minorEastAsia" w:cstheme="minorEastAsia"/>
          <w:color w:val="auto"/>
          <w:sz w:val="20"/>
          <w:szCs w:val="20"/>
          <w:highlight w:val="none"/>
        </w:rPr>
        <w:t>一、</w:t>
      </w:r>
      <w:bookmarkEnd w:id="87"/>
      <w:r>
        <w:rPr>
          <w:rFonts w:hint="eastAsia" w:asciiTheme="minorEastAsia" w:hAnsiTheme="minorEastAsia" w:eastAsiaTheme="minorEastAsia" w:cstheme="minorEastAsia"/>
          <w:color w:val="auto"/>
          <w:sz w:val="20"/>
          <w:szCs w:val="20"/>
          <w:highlight w:val="none"/>
        </w:rPr>
        <w:t>比选竞选人</w:t>
      </w:r>
      <w:bookmarkEnd w:id="88"/>
      <w:bookmarkEnd w:id="89"/>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参与比选的竞选人应承担其编制竞选文件与递交竞选文件所涉及的一切费用，不论比选结果如何，比选人和比选代理机构在任何情况下无义务也无责任承担这些费用。</w:t>
      </w:r>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90" w:name="_Toc10558"/>
      <w:bookmarkStart w:id="91" w:name="_Toc8131"/>
      <w:bookmarkStart w:id="92" w:name="_Toc428437951"/>
      <w:r>
        <w:rPr>
          <w:rFonts w:hint="eastAsia" w:asciiTheme="minorEastAsia" w:hAnsiTheme="minorEastAsia" w:eastAsiaTheme="minorEastAsia" w:cstheme="minorEastAsia"/>
          <w:color w:val="auto"/>
          <w:sz w:val="20"/>
          <w:szCs w:val="20"/>
          <w:highlight w:val="none"/>
        </w:rPr>
        <w:t>二、竞争性比选文件</w:t>
      </w:r>
      <w:bookmarkEnd w:id="90"/>
      <w:bookmarkEnd w:id="91"/>
      <w:bookmarkEnd w:id="92"/>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（一）竞争性比选文件由竞争性比选邀请书、项目服务需求、项目商务需求、比选程序及方法、评审及标准、竞选人须知、合同草案条款、竞选文件编制要求七部分组成。</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（二）比选人（或比选代理机构）所作的一切有效的书面通知、修改及补充，都是竞争性比选文件不可分割的部分。</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（三）竞争性比选文件的解释</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59780"/>
      <w:bookmarkStart w:id="94" w:name="_Toc318159349"/>
      <w:bookmarkStart w:id="95" w:name="_Toc318159160"/>
      <w:bookmarkStart w:id="96" w:name="_Toc318166429"/>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97" w:name="_Toc918"/>
      <w:bookmarkStart w:id="98" w:name="_Toc342913392"/>
      <w:bookmarkStart w:id="99" w:name="_Toc428437952"/>
      <w:bookmarkStart w:id="100" w:name="_Toc9322"/>
      <w:bookmarkStart w:id="101" w:name="_Toc179714297"/>
      <w:bookmarkStart w:id="102" w:name="_Toc102227318"/>
      <w:r>
        <w:rPr>
          <w:rFonts w:hint="eastAsia" w:asciiTheme="minorEastAsia" w:hAnsiTheme="minorEastAsia" w:eastAsiaTheme="minorEastAsia" w:cstheme="minorEastAsia"/>
          <w:color w:val="auto"/>
          <w:sz w:val="20"/>
          <w:szCs w:val="20"/>
          <w:highlight w:val="none"/>
        </w:rPr>
        <w:t>三、比选要求</w:t>
      </w:r>
      <w:bookmarkEnd w:id="97"/>
      <w:bookmarkEnd w:id="98"/>
      <w:bookmarkEnd w:id="99"/>
      <w:bookmarkEnd w:id="100"/>
      <w:bookmarkEnd w:id="101"/>
      <w:bookmarkEnd w:id="102"/>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（一）竞选文件</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1．竞选人应当按照竞争性比选文件的要求编制竞选文件，并对竞争性比选文件提出的要求和条件作出实质性响应，竞选文件原则上采用软面订本，同时应编制完整的页码、目录。</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2．竞选文件组成</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（二）本项目不接受联合体形式参与比选。</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（三）比选有效期：竞选文件及有关承诺文件有效期为提交竞选文件截止时间起90天。</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（四）比选保证金：</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1．竞选人提交保证金金额和方式详见“</w:t>
      </w:r>
      <w:r>
        <w:rPr>
          <w:rFonts w:hint="eastAsia" w:asciiTheme="minorEastAsia" w:hAnsiTheme="minorEastAsia" w:eastAsiaTheme="minorEastAsia" w:cstheme="minorEastAsia"/>
          <w:b/>
          <w:color w:val="auto"/>
          <w:sz w:val="20"/>
          <w:szCs w:val="20"/>
          <w:highlight w:val="none"/>
        </w:rPr>
        <w:t>第一篇  五、保证金</w:t>
      </w:r>
      <w:r>
        <w:rPr>
          <w:rFonts w:hint="eastAsia" w:asciiTheme="minorEastAsia" w:hAnsiTheme="minorEastAsia" w:eastAsiaTheme="minorEastAsia" w:cstheme="minorEastAsia"/>
          <w:color w:val="auto"/>
          <w:sz w:val="20"/>
          <w:szCs w:val="20"/>
          <w:highlight w:val="none"/>
        </w:rPr>
        <w:t>”；</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2．发生以下情况之一者，比选保证金不予退还：</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2.1竞选人在提交竞选文件截止时间后撤回竞选文件的；</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2.2竞选人在竞选文件中提供虚假材料的；</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2.3除因不可抗力或竞争性比选文件认可的情形以外，中选人不与比选人签订合同的；</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2.4竞选人与比选人、其他竞选人或者比选代理机构恶意串通的；</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2.5中选人不按规定的时间或拒绝按中选状态签订合同（即不按照比选文件确定的合同文本以及比选标的、规格型号、金额、数量、服务和商务要求等事项签订采购合同的。</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（五）修正错误</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1．若竞选人所递交的竞选文件或报价中的价格出现大写金额和小写金额不一致的错误，以大写金额修正为准。</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（六）提交竞选文件的份数和签署</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1．竞选文件</w:t>
      </w:r>
      <w:r>
        <w:rPr>
          <w:rFonts w:hint="eastAsia" w:asciiTheme="minorEastAsia" w:hAnsiTheme="minorEastAsia" w:eastAsiaTheme="minorEastAsia" w:cstheme="minorEastAsia"/>
          <w:color w:val="auto"/>
          <w:sz w:val="20"/>
          <w:szCs w:val="20"/>
          <w:highlight w:val="none"/>
          <w:lang w:eastAsia="zh-CN"/>
        </w:rPr>
        <w:t>一式</w:t>
      </w:r>
      <w:r>
        <w:rPr>
          <w:rFonts w:hint="eastAsia" w:asciiTheme="minorEastAsia" w:hAnsiTheme="minorEastAsia" w:eastAsiaTheme="minorEastAsia" w:cstheme="minorEastAsia"/>
          <w:color w:val="auto"/>
          <w:sz w:val="20"/>
          <w:szCs w:val="20"/>
          <w:highlight w:val="none"/>
          <w:lang w:val="en-US" w:eastAsia="zh-CN"/>
        </w:rPr>
        <w:t>三</w:t>
      </w:r>
      <w:r>
        <w:rPr>
          <w:rFonts w:hint="eastAsia" w:asciiTheme="minorEastAsia" w:hAnsiTheme="minorEastAsia" w:eastAsiaTheme="minorEastAsia" w:cstheme="minorEastAsia"/>
          <w:color w:val="auto"/>
          <w:sz w:val="20"/>
          <w:szCs w:val="20"/>
          <w:highlight w:val="none"/>
          <w:lang w:eastAsia="zh-CN"/>
        </w:rPr>
        <w:t>份</w:t>
      </w:r>
      <w:r>
        <w:rPr>
          <w:rFonts w:hint="eastAsia" w:asciiTheme="minorEastAsia" w:hAnsiTheme="minorEastAsia" w:eastAsiaTheme="minorEastAsia" w:cstheme="minorEastAsia"/>
          <w:color w:val="auto"/>
          <w:sz w:val="20"/>
          <w:szCs w:val="20"/>
          <w:highlight w:val="none"/>
        </w:rPr>
        <w:t>，其中正本一份，副本</w:t>
      </w:r>
      <w:r>
        <w:rPr>
          <w:rFonts w:hint="eastAsia" w:asciiTheme="minorEastAsia" w:hAnsiTheme="minorEastAsia" w:eastAsiaTheme="minorEastAsia" w:cstheme="minorEastAsia"/>
          <w:color w:val="auto"/>
          <w:sz w:val="20"/>
          <w:szCs w:val="20"/>
          <w:highlight w:val="none"/>
          <w:lang w:val="en-US" w:eastAsia="zh-CN"/>
        </w:rPr>
        <w:t>一</w:t>
      </w:r>
      <w:r>
        <w:rPr>
          <w:rFonts w:hint="eastAsia" w:asciiTheme="minorEastAsia" w:hAnsiTheme="minorEastAsia" w:eastAsiaTheme="minorEastAsia" w:cstheme="minorEastAsia"/>
          <w:color w:val="auto"/>
          <w:sz w:val="20"/>
          <w:szCs w:val="20"/>
          <w:highlight w:val="none"/>
        </w:rPr>
        <w:t>份，电子文档一份（电子文档内容应与纸质文件正本一致，</w:t>
      </w:r>
      <w:r>
        <w:rPr>
          <w:rFonts w:hint="eastAsia" w:asciiTheme="minorEastAsia" w:hAnsiTheme="minorEastAsia" w:eastAsiaTheme="minorEastAsia" w:cstheme="minorEastAsia"/>
          <w:b/>
          <w:bCs/>
          <w:color w:val="auto"/>
          <w:sz w:val="20"/>
          <w:szCs w:val="20"/>
          <w:highlight w:val="none"/>
        </w:rPr>
        <w:t>且为签字、盖章齐全的正本PDF扫描件。</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副本可为正本的复印件，应与正本一致，如出现不一致情况以正本为准。</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2．在竞选文件正本中，竞争性比选文件第六篇竞选文件编制要求中规定签字、盖章的地方必须按其规定签字、盖章。</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（七）竞选文件的递交</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1．竞选文件的密封与标记</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2．竞选文件递交截止时间：参阅竞争性比选邀请书。</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3．竞选文件语言：简体中文</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（八）竞选人参与人员</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各个竞选人可派1-2名代表参与比选，至少1人应为法定代表人或具有法定代表人授权委托书的授权代表。</w:t>
      </w:r>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103" w:name="_Toc23558"/>
      <w:bookmarkStart w:id="104" w:name="_Toc5271"/>
      <w:bookmarkStart w:id="105" w:name="_Toc428437953"/>
      <w:r>
        <w:rPr>
          <w:rFonts w:hint="eastAsia" w:asciiTheme="minorEastAsia" w:hAnsiTheme="minorEastAsia" w:eastAsiaTheme="minorEastAsia" w:cstheme="minorEastAsia"/>
          <w:color w:val="auto"/>
          <w:sz w:val="20"/>
          <w:szCs w:val="20"/>
          <w:highlight w:val="none"/>
        </w:rPr>
        <w:t>四、中选人的确认和变更</w:t>
      </w:r>
      <w:bookmarkEnd w:id="103"/>
      <w:bookmarkEnd w:id="104"/>
      <w:bookmarkEnd w:id="105"/>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（一）中选人的确认</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（二）中选人的变更</w:t>
      </w:r>
    </w:p>
    <w:p>
      <w:pPr>
        <w:snapToGrid w:val="0"/>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中选人拒绝与比选人签订合同的，比选人可以按照评选报告推荐的中选候选竞选人顺序，确定排名下一位的候选人为中选人，也可以重新开展比选。</w:t>
      </w:r>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106" w:name="_Toc428437954"/>
      <w:bookmarkStart w:id="107" w:name="_Toc102227321"/>
      <w:bookmarkStart w:id="108" w:name="_Toc29349"/>
      <w:bookmarkStart w:id="109" w:name="_Toc342913395"/>
      <w:bookmarkStart w:id="110" w:name="_Toc14704"/>
      <w:r>
        <w:rPr>
          <w:rFonts w:hint="eastAsia" w:asciiTheme="minorEastAsia" w:hAnsiTheme="minorEastAsia" w:eastAsiaTheme="minorEastAsia" w:cstheme="minorEastAsia"/>
          <w:color w:val="auto"/>
          <w:sz w:val="20"/>
          <w:szCs w:val="20"/>
          <w:highlight w:val="none"/>
        </w:rPr>
        <w:t>五、中选通知</w:t>
      </w:r>
      <w:bookmarkEnd w:id="106"/>
      <w:bookmarkEnd w:id="107"/>
      <w:bookmarkEnd w:id="108"/>
      <w:bookmarkEnd w:id="109"/>
      <w:bookmarkEnd w:id="110"/>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（一）中选人确定后，将在“重庆市制造业人才服务中心”官方网站（www.cidcchina.com）上发布中选结果公告</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lang w:val="en-US" w:eastAsia="zh-CN"/>
        </w:rPr>
        <w:t>公示期为1个工作日</w:t>
      </w:r>
      <w:r>
        <w:rPr>
          <w:rFonts w:hint="eastAsia" w:asciiTheme="minorEastAsia" w:hAnsiTheme="minorEastAsia" w:eastAsiaTheme="minorEastAsia" w:cstheme="minorEastAsia"/>
          <w:color w:val="auto"/>
          <w:sz w:val="20"/>
          <w:szCs w:val="20"/>
          <w:highlight w:val="none"/>
        </w:rPr>
        <w:t>。</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（二）结果公告发出同时，比选代理机构将以书面形式发出《中选通知书》。《中选通知书》一经发出即发生法律效力。</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（三）《中选通知书》将作为签订合同的依据。</w:t>
      </w:r>
    </w:p>
    <w:p>
      <w:pPr>
        <w:pStyle w:val="181"/>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（四）如有竞选人对中选结果提出质疑的，在质疑处理完毕后发出中选通知书。</w:t>
      </w:r>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111" w:name="_Toc428437956"/>
      <w:bookmarkStart w:id="112" w:name="_Toc4539"/>
      <w:bookmarkStart w:id="113" w:name="_Toc21925"/>
      <w:r>
        <w:rPr>
          <w:rFonts w:hint="eastAsia" w:asciiTheme="minorEastAsia" w:hAnsiTheme="minorEastAsia" w:eastAsiaTheme="minorEastAsia" w:cstheme="minorEastAsia"/>
          <w:color w:val="auto"/>
          <w:sz w:val="20"/>
          <w:szCs w:val="20"/>
          <w:highlight w:val="none"/>
        </w:rPr>
        <w:t>六、比选代理服务费</w:t>
      </w:r>
      <w:bookmarkEnd w:id="111"/>
      <w:bookmarkEnd w:id="112"/>
      <w:bookmarkEnd w:id="113"/>
    </w:p>
    <w:p>
      <w:pPr>
        <w:spacing w:line="360" w:lineRule="auto"/>
        <w:ind w:firstLine="400" w:firstLineChars="200"/>
        <w:rPr>
          <w:rFonts w:hint="eastAsia" w:asciiTheme="minorEastAsia" w:hAnsiTheme="minorEastAsia" w:eastAsiaTheme="minorEastAsia" w:cstheme="minorEastAsia"/>
          <w:b/>
          <w:color w:val="auto"/>
          <w:sz w:val="20"/>
          <w:szCs w:val="20"/>
          <w:highlight w:val="none"/>
        </w:rPr>
      </w:pPr>
      <w:bookmarkStart w:id="114" w:name="OLE_LINK7"/>
      <w:bookmarkStart w:id="115" w:name="OLE_LINK8"/>
      <w:bookmarkStart w:id="116" w:name="_Toc102227322"/>
      <w:bookmarkStart w:id="117" w:name="_Toc342913396"/>
      <w:bookmarkStart w:id="118" w:name="_Toc428437958"/>
      <w:r>
        <w:rPr>
          <w:rFonts w:hint="eastAsia" w:asciiTheme="minorEastAsia" w:hAnsiTheme="minorEastAsia" w:eastAsiaTheme="minorEastAsia" w:cstheme="minorEastAsia"/>
          <w:color w:val="auto"/>
          <w:sz w:val="20"/>
          <w:szCs w:val="20"/>
          <w:highlight w:val="none"/>
        </w:rPr>
        <w:t>1.竞选人中选后向比选代理机构缴纳比选代理服务费，本项目比选代理服务费为</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lang w:val="en-US" w:eastAsia="zh-CN"/>
        </w:rPr>
        <w:t>中选金额的1.5%，计算后不足4000元的按4000元收取</w:t>
      </w:r>
      <w:r>
        <w:rPr>
          <w:rFonts w:hint="eastAsia" w:asciiTheme="minorEastAsia" w:hAnsiTheme="minorEastAsia" w:eastAsiaTheme="minorEastAsia" w:cstheme="minorEastAsia"/>
          <w:color w:val="auto"/>
          <w:sz w:val="20"/>
          <w:szCs w:val="20"/>
          <w:highlight w:val="none"/>
        </w:rPr>
        <w:t>。</w:t>
      </w:r>
    </w:p>
    <w:bookmarkEnd w:id="114"/>
    <w:bookmarkEnd w:id="115"/>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2.比选代理服务费缴纳账号：</w:t>
      </w:r>
    </w:p>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户    名：瀚景项目管理有限公司重庆分公司</w:t>
      </w:r>
    </w:p>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账    号：123908446310202</w:t>
      </w:r>
    </w:p>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开户银行：</w:t>
      </w:r>
      <w:r>
        <w:rPr>
          <w:rFonts w:hint="eastAsia" w:ascii="宋体" w:hAnsi="宋体"/>
          <w:color w:val="auto"/>
          <w:szCs w:val="28"/>
          <w:highlight w:val="none"/>
        </w:rPr>
        <w:t>招商银行重庆分行西部科学城支行</w:t>
      </w:r>
    </w:p>
    <w:p>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备注：</w:t>
      </w:r>
      <w:r>
        <w:rPr>
          <w:rFonts w:hint="eastAsia" w:asciiTheme="minorEastAsia" w:hAnsiTheme="minorEastAsia" w:eastAsiaTheme="minorEastAsia" w:cstheme="minorEastAsia"/>
          <w:color w:val="auto"/>
          <w:sz w:val="20"/>
          <w:szCs w:val="20"/>
          <w:highlight w:val="none"/>
          <w:lang w:val="en-US" w:eastAsia="zh-CN"/>
        </w:rPr>
        <w:t>项目编号+</w:t>
      </w:r>
      <w:r>
        <w:rPr>
          <w:rFonts w:hint="eastAsia" w:asciiTheme="minorEastAsia" w:hAnsiTheme="minorEastAsia" w:eastAsiaTheme="minorEastAsia" w:cstheme="minorEastAsia"/>
          <w:color w:val="auto"/>
          <w:sz w:val="20"/>
          <w:szCs w:val="20"/>
          <w:highlight w:val="none"/>
        </w:rPr>
        <w:t>代理费</w:t>
      </w:r>
    </w:p>
    <w:p>
      <w:pPr>
        <w:pStyle w:val="6"/>
        <w:spacing w:before="0" w:after="0" w:line="360" w:lineRule="auto"/>
        <w:rPr>
          <w:rFonts w:hint="eastAsia" w:asciiTheme="minorEastAsia" w:hAnsiTheme="minorEastAsia" w:eastAsiaTheme="minorEastAsia" w:cstheme="minorEastAsia"/>
          <w:color w:val="auto"/>
          <w:sz w:val="20"/>
          <w:szCs w:val="20"/>
          <w:highlight w:val="none"/>
        </w:rPr>
      </w:pPr>
      <w:bookmarkStart w:id="119" w:name="_Toc875"/>
      <w:bookmarkStart w:id="120" w:name="_Toc24601"/>
      <w:r>
        <w:rPr>
          <w:rFonts w:hint="eastAsia" w:asciiTheme="minorEastAsia" w:hAnsiTheme="minorEastAsia" w:eastAsiaTheme="minorEastAsia" w:cstheme="minorEastAsia"/>
          <w:color w:val="auto"/>
          <w:sz w:val="20"/>
          <w:szCs w:val="20"/>
          <w:highlight w:val="none"/>
        </w:rPr>
        <w:t>七、签订</w:t>
      </w:r>
      <w:bookmarkEnd w:id="116"/>
      <w:r>
        <w:rPr>
          <w:rFonts w:hint="eastAsia" w:asciiTheme="minorEastAsia" w:hAnsiTheme="minorEastAsia" w:eastAsiaTheme="minorEastAsia" w:cstheme="minorEastAsia"/>
          <w:color w:val="auto"/>
          <w:sz w:val="20"/>
          <w:szCs w:val="20"/>
          <w:highlight w:val="none"/>
        </w:rPr>
        <w:t>合同</w:t>
      </w:r>
      <w:bookmarkEnd w:id="117"/>
      <w:bookmarkEnd w:id="118"/>
      <w:bookmarkEnd w:id="119"/>
      <w:bookmarkEnd w:id="120"/>
    </w:p>
    <w:p>
      <w:pPr>
        <w:snapToGrid w:val="0"/>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（二）竞争性比选文件、竞选人的竞选文件及澄清文件等，均为签订采购合同的依据。</w:t>
      </w:r>
    </w:p>
    <w:p>
      <w:pPr>
        <w:snapToGrid w:val="0"/>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（三）合同生效条款由供需双方约定，法律、行政法规规定应当办理批准、登记等手续后生效的合同，依照其规定。</w:t>
      </w:r>
    </w:p>
    <w:p>
      <w:pPr>
        <w:pStyle w:val="5"/>
        <w:spacing w:line="480" w:lineRule="exact"/>
        <w:jc w:val="center"/>
        <w:rPr>
          <w:rFonts w:ascii="宋体" w:hAnsi="宋体" w:eastAsia="宋体"/>
          <w:color w:val="auto"/>
          <w:sz w:val="36"/>
          <w:szCs w:val="36"/>
          <w:highlight w:val="none"/>
        </w:rPr>
      </w:pPr>
      <w:r>
        <w:rPr>
          <w:rFonts w:ascii="宋体" w:hAnsi="宋体"/>
          <w:color w:val="auto"/>
          <w:sz w:val="28"/>
          <w:szCs w:val="28"/>
          <w:highlight w:val="none"/>
        </w:rPr>
        <w:br w:type="page"/>
      </w:r>
      <w:bookmarkStart w:id="121" w:name="_Toc28212"/>
      <w:bookmarkStart w:id="122" w:name="_Toc4465"/>
      <w:r>
        <w:rPr>
          <w:rFonts w:hint="eastAsia" w:ascii="宋体" w:hAnsi="宋体" w:eastAsia="宋体"/>
          <w:color w:val="auto"/>
          <w:sz w:val="36"/>
          <w:szCs w:val="36"/>
          <w:highlight w:val="none"/>
        </w:rPr>
        <w:t>第</w:t>
      </w:r>
      <w:r>
        <w:rPr>
          <w:rFonts w:ascii="宋体" w:hAnsi="宋体" w:eastAsia="宋体"/>
          <w:color w:val="auto"/>
          <w:sz w:val="36"/>
          <w:szCs w:val="36"/>
          <w:highlight w:val="none"/>
        </w:rPr>
        <w:t>六篇</w:t>
      </w:r>
      <w:r>
        <w:rPr>
          <w:rFonts w:hint="eastAsia" w:ascii="宋体" w:hAnsi="宋体" w:eastAsia="宋体"/>
          <w:color w:val="auto"/>
          <w:sz w:val="36"/>
          <w:szCs w:val="36"/>
          <w:highlight w:val="none"/>
        </w:rPr>
        <w:t xml:space="preserve">  采购合同</w:t>
      </w:r>
      <w:bookmarkEnd w:id="121"/>
      <w:bookmarkEnd w:id="122"/>
    </w:p>
    <w:p>
      <w:pPr>
        <w:rPr>
          <w:color w:val="auto"/>
          <w:highlight w:val="none"/>
        </w:rPr>
      </w:pPr>
    </w:p>
    <w:p>
      <w:pPr>
        <w:rPr>
          <w:color w:val="auto"/>
          <w:highlight w:val="none"/>
        </w:rPr>
      </w:pPr>
    </w:p>
    <w:p>
      <w:pPr>
        <w:rPr>
          <w:color w:val="auto"/>
          <w:highlight w:val="none"/>
        </w:rPr>
      </w:pPr>
      <w:r>
        <w:rPr>
          <w:rFonts w:hint="eastAsia"/>
          <w:color w:val="auto"/>
          <w:highlight w:val="none"/>
        </w:rPr>
        <w:t>本项目本合同格式此处不作约定，签约双方可根据实际情况商定合同范式。</w:t>
      </w:r>
    </w:p>
    <w:p>
      <w:pPr>
        <w:pStyle w:val="5"/>
        <w:spacing w:line="360" w:lineRule="auto"/>
        <w:jc w:val="center"/>
        <w:rPr>
          <w:rFonts w:ascii="宋体" w:hAnsi="宋体" w:eastAsia="宋体"/>
          <w:color w:val="auto"/>
          <w:sz w:val="36"/>
          <w:szCs w:val="36"/>
          <w:highlight w:val="none"/>
        </w:rPr>
        <w:sectPr>
          <w:pgSz w:w="11907" w:h="16840"/>
          <w:pgMar w:top="850" w:right="850" w:bottom="850" w:left="850" w:header="851" w:footer="992" w:gutter="0"/>
          <w:cols w:space="720" w:num="1"/>
          <w:docGrid w:linePitch="380" w:charSpace="-5735"/>
        </w:sectPr>
      </w:pPr>
    </w:p>
    <w:p>
      <w:pPr>
        <w:pStyle w:val="5"/>
        <w:spacing w:line="360" w:lineRule="auto"/>
        <w:jc w:val="center"/>
        <w:rPr>
          <w:rFonts w:ascii="宋体" w:hAnsi="宋体" w:eastAsia="宋体"/>
          <w:color w:val="auto"/>
          <w:sz w:val="36"/>
          <w:szCs w:val="36"/>
          <w:highlight w:val="none"/>
        </w:rPr>
      </w:pPr>
      <w:bookmarkStart w:id="123" w:name="_Toc7022"/>
    </w:p>
    <w:p>
      <w:pPr>
        <w:pStyle w:val="5"/>
        <w:spacing w:line="360" w:lineRule="auto"/>
        <w:jc w:val="center"/>
        <w:rPr>
          <w:rFonts w:ascii="宋体" w:hAnsi="宋体" w:eastAsia="宋体"/>
          <w:color w:val="auto"/>
          <w:sz w:val="36"/>
          <w:szCs w:val="36"/>
          <w:highlight w:val="none"/>
        </w:rPr>
      </w:pPr>
      <w:bookmarkStart w:id="124" w:name="_Toc3662"/>
      <w:r>
        <w:rPr>
          <w:rFonts w:hint="eastAsia" w:ascii="宋体" w:hAnsi="宋体" w:eastAsia="宋体"/>
          <w:color w:val="auto"/>
          <w:sz w:val="36"/>
          <w:szCs w:val="36"/>
          <w:highlight w:val="none"/>
        </w:rPr>
        <w:t>第</w:t>
      </w:r>
      <w:r>
        <w:rPr>
          <w:rFonts w:ascii="宋体" w:hAnsi="宋体" w:eastAsia="宋体"/>
          <w:color w:val="auto"/>
          <w:sz w:val="36"/>
          <w:szCs w:val="36"/>
          <w:highlight w:val="none"/>
        </w:rPr>
        <w:t>七</w:t>
      </w:r>
      <w:r>
        <w:rPr>
          <w:rFonts w:hint="eastAsia" w:ascii="宋体" w:hAnsi="宋体" w:eastAsia="宋体"/>
          <w:color w:val="auto"/>
          <w:sz w:val="36"/>
          <w:szCs w:val="36"/>
          <w:highlight w:val="none"/>
        </w:rPr>
        <w:t>篇  竞选文件编制要求</w:t>
      </w:r>
      <w:bookmarkEnd w:id="86"/>
      <w:bookmarkEnd w:id="123"/>
      <w:bookmarkEnd w:id="124"/>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w:t>
      </w:r>
      <w:r>
        <w:rPr>
          <w:rFonts w:ascii="宋体" w:hAnsi="宋体"/>
          <w:color w:val="auto"/>
          <w:szCs w:val="28"/>
          <w:highlight w:val="none"/>
        </w:rPr>
        <w:t>、</w:t>
      </w:r>
      <w:r>
        <w:rPr>
          <w:rFonts w:hint="eastAsia" w:ascii="宋体" w:hAnsi="宋体"/>
          <w:color w:val="auto"/>
          <w:szCs w:val="28"/>
          <w:highlight w:val="none"/>
        </w:rPr>
        <w:t>竞选文件封</w:t>
      </w:r>
      <w:r>
        <w:rPr>
          <w:rFonts w:ascii="宋体" w:hAnsi="宋体"/>
          <w:color w:val="auto"/>
          <w:szCs w:val="28"/>
          <w:highlight w:val="none"/>
        </w:rPr>
        <w:t>面</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二、经济部分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（一）竞争性比选报价</w:t>
      </w:r>
    </w:p>
    <w:p>
      <w:pPr>
        <w:spacing w:line="360" w:lineRule="auto"/>
        <w:ind w:firstLine="400" w:firstLineChars="200"/>
        <w:rPr>
          <w:rFonts w:eastAsia="仿宋_GB2312"/>
          <w:color w:val="auto"/>
          <w:highlight w:val="none"/>
        </w:rPr>
      </w:pPr>
      <w:r>
        <w:rPr>
          <w:rFonts w:hint="eastAsia" w:ascii="宋体" w:hAnsi="宋体"/>
          <w:color w:val="auto"/>
          <w:szCs w:val="28"/>
          <w:highlight w:val="none"/>
        </w:rPr>
        <w:t>（二）明细报价表</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三、服务部分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（一）服务响应偏离表</w:t>
      </w:r>
    </w:p>
    <w:p>
      <w:pPr>
        <w:spacing w:line="360" w:lineRule="auto"/>
        <w:ind w:firstLine="400" w:firstLineChars="200"/>
        <w:rPr>
          <w:rFonts w:ascii="宋体" w:hAnsi="宋体"/>
          <w:color w:val="auto"/>
          <w:szCs w:val="28"/>
          <w:highlight w:val="none"/>
        </w:rPr>
      </w:pPr>
      <w:r>
        <w:rPr>
          <w:rFonts w:ascii="宋体" w:hAnsi="宋体"/>
          <w:color w:val="auto"/>
          <w:szCs w:val="28"/>
          <w:highlight w:val="none"/>
        </w:rPr>
        <w:t>（</w:t>
      </w:r>
      <w:r>
        <w:rPr>
          <w:rFonts w:hint="eastAsia" w:ascii="宋体" w:hAnsi="宋体"/>
          <w:color w:val="auto"/>
          <w:szCs w:val="28"/>
          <w:highlight w:val="none"/>
        </w:rPr>
        <w:t>二</w:t>
      </w:r>
      <w:r>
        <w:rPr>
          <w:rFonts w:ascii="宋体" w:hAnsi="宋体"/>
          <w:color w:val="auto"/>
          <w:szCs w:val="28"/>
          <w:highlight w:val="none"/>
        </w:rPr>
        <w:t>）</w:t>
      </w:r>
      <w:r>
        <w:rPr>
          <w:rFonts w:hint="eastAsia" w:ascii="宋体" w:hAnsi="宋体"/>
          <w:color w:val="auto"/>
          <w:szCs w:val="28"/>
          <w:highlight w:val="none"/>
        </w:rPr>
        <w:t>服务评审需提供的材料（格式自定）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四、商务部分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（一）商务响应偏离表</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（二）商务评审需提供的材料（格式自定）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（三）不可抗力承诺函（格式）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（四）其它优惠承诺（如有，格式自定。）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五、资格条件及其他</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（一）资格条件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（二）其他应提供的资料</w:t>
      </w:r>
    </w:p>
    <w:p>
      <w:pPr>
        <w:spacing w:line="360" w:lineRule="auto"/>
        <w:ind w:firstLine="420" w:firstLineChars="200"/>
        <w:rPr>
          <w:rFonts w:ascii="宋体" w:hAnsi="宋体"/>
          <w:color w:val="auto"/>
          <w:sz w:val="21"/>
          <w:szCs w:val="21"/>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rPr>
          <w:rFonts w:hint="eastAsia" w:ascii="宋体" w:hAnsi="宋体"/>
          <w:b w:val="0"/>
          <w:color w:val="auto"/>
          <w:sz w:val="24"/>
          <w:szCs w:val="24"/>
          <w:highlight w:val="none"/>
        </w:rPr>
      </w:pPr>
      <w:bookmarkStart w:id="125" w:name="_Toc377402559"/>
      <w:bookmarkStart w:id="126" w:name="_Toc350435647"/>
      <w:bookmarkStart w:id="127" w:name="_Toc11602"/>
      <w:bookmarkStart w:id="128" w:name="_Toc294083526"/>
      <w:bookmarkStart w:id="129" w:name="_Toc332630166"/>
      <w:bookmarkStart w:id="130" w:name="_Toc328052593"/>
      <w:bookmarkStart w:id="131" w:name="_Toc433792168"/>
      <w:bookmarkStart w:id="132" w:name="_Toc375840799"/>
      <w:bookmarkStart w:id="133" w:name="_Toc375841207"/>
      <w:bookmarkStart w:id="134" w:name="_Toc350093071"/>
      <w:bookmarkStart w:id="135" w:name="_Toc375666796"/>
      <w:bookmarkStart w:id="136" w:name="_Toc333412485"/>
      <w:bookmarkStart w:id="137" w:name="_Toc313888360"/>
      <w:bookmarkStart w:id="138" w:name="_Toc313008356"/>
      <w:bookmarkStart w:id="139" w:name="_Toc342913419"/>
      <w:bookmarkStart w:id="140" w:name="_Toc12789073"/>
      <w:bookmarkStart w:id="141" w:name="_Toc283382454"/>
      <w:r>
        <w:rPr>
          <w:rFonts w:hint="eastAsia" w:ascii="宋体" w:hAnsi="宋体"/>
          <w:b w:val="0"/>
          <w:color w:val="auto"/>
          <w:sz w:val="24"/>
          <w:szCs w:val="24"/>
          <w:highlight w:val="none"/>
        </w:rPr>
        <w:br w:type="page"/>
      </w:r>
    </w:p>
    <w:p>
      <w:pPr>
        <w:pStyle w:val="6"/>
        <w:spacing w:before="0" w:after="0" w:line="480" w:lineRule="exact"/>
        <w:rPr>
          <w:rFonts w:ascii="宋体" w:hAnsi="宋体"/>
          <w:b w:val="0"/>
          <w:color w:val="auto"/>
          <w:sz w:val="24"/>
          <w:szCs w:val="24"/>
          <w:highlight w:val="none"/>
        </w:rPr>
      </w:pPr>
      <w:bookmarkStart w:id="142" w:name="_Toc29279"/>
      <w:r>
        <w:rPr>
          <w:rFonts w:hint="eastAsia" w:ascii="宋体" w:hAnsi="宋体"/>
          <w:b w:val="0"/>
          <w:color w:val="auto"/>
          <w:sz w:val="24"/>
          <w:szCs w:val="24"/>
          <w:highlight w:val="none"/>
        </w:rPr>
        <w:t>一</w:t>
      </w:r>
      <w:r>
        <w:rPr>
          <w:rFonts w:ascii="宋体" w:hAnsi="宋体"/>
          <w:b w:val="0"/>
          <w:color w:val="auto"/>
          <w:sz w:val="24"/>
          <w:szCs w:val="24"/>
          <w:highlight w:val="none"/>
        </w:rPr>
        <w:t>、</w:t>
      </w:r>
      <w:r>
        <w:rPr>
          <w:rFonts w:hint="eastAsia" w:ascii="宋体" w:hAnsi="宋体"/>
          <w:b w:val="0"/>
          <w:color w:val="auto"/>
          <w:sz w:val="24"/>
          <w:szCs w:val="24"/>
          <w:highlight w:val="none"/>
        </w:rPr>
        <w:t>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p>
    <w:p>
      <w:pPr>
        <w:autoSpaceDE w:val="0"/>
        <w:autoSpaceDN w:val="0"/>
        <w:adjustRightInd w:val="0"/>
        <w:snapToGrid w:val="0"/>
        <w:spacing w:line="360" w:lineRule="auto"/>
        <w:ind w:firstLine="706" w:firstLineChars="355"/>
        <w:jc w:val="left"/>
        <w:rPr>
          <w:rFonts w:ascii="宋体" w:hAnsi="宋体" w:cs="MingLiU"/>
          <w:color w:val="auto"/>
          <w:kern w:val="0"/>
          <w:sz w:val="16"/>
          <w:szCs w:val="16"/>
          <w:highlight w:val="none"/>
        </w:rPr>
      </w:pPr>
      <w:r>
        <w:rPr>
          <w:rFonts w:hint="eastAsia" w:ascii="宋体" w:hAnsi="宋体" w:cs="MingLiU"/>
          <w:b/>
          <w:color w:val="auto"/>
          <w:w w:val="99"/>
          <w:kern w:val="0"/>
          <w:szCs w:val="28"/>
          <w:highlight w:val="none"/>
        </w:rPr>
        <w:t>项目编号：</w:t>
      </w:r>
    </w:p>
    <w:p>
      <w:pPr>
        <w:tabs>
          <w:tab w:val="left" w:pos="6904"/>
        </w:tabs>
        <w:autoSpaceDE w:val="0"/>
        <w:autoSpaceDN w:val="0"/>
        <w:adjustRightInd w:val="0"/>
        <w:snapToGrid w:val="0"/>
        <w:spacing w:line="360" w:lineRule="auto"/>
        <w:ind w:firstLine="706" w:firstLineChars="355"/>
        <w:jc w:val="left"/>
        <w:rPr>
          <w:rFonts w:ascii="宋体" w:hAnsi="宋体" w:cs="MingLiU"/>
          <w:b/>
          <w:color w:val="auto"/>
          <w:w w:val="99"/>
          <w:kern w:val="0"/>
          <w:szCs w:val="28"/>
          <w:highlight w:val="none"/>
        </w:rPr>
      </w:pPr>
      <w:r>
        <w:rPr>
          <w:rFonts w:hint="eastAsia" w:ascii="宋体" w:hAnsi="宋体" w:cs="MingLiU"/>
          <w:b/>
          <w:color w:val="auto"/>
          <w:w w:val="99"/>
          <w:kern w:val="0"/>
          <w:szCs w:val="28"/>
          <w:highlight w:val="none"/>
        </w:rPr>
        <w:t>项目名称：</w:t>
      </w:r>
    </w:p>
    <w:p>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kern w:val="0"/>
          <w:szCs w:val="28"/>
          <w:highlight w:val="none"/>
          <w:u w:val="single"/>
        </w:rPr>
      </w:pPr>
    </w:p>
    <w:p>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kern w:val="0"/>
          <w:szCs w:val="28"/>
          <w:highlight w:val="none"/>
          <w:u w:val="single"/>
        </w:rPr>
      </w:pPr>
    </w:p>
    <w:p>
      <w:pPr>
        <w:autoSpaceDE w:val="0"/>
        <w:autoSpaceDN w:val="0"/>
        <w:adjustRightInd w:val="0"/>
        <w:snapToGrid w:val="0"/>
        <w:spacing w:line="360" w:lineRule="auto"/>
        <w:jc w:val="left"/>
        <w:rPr>
          <w:rFonts w:ascii="宋体" w:hAnsi="宋体" w:cs="MingLiU"/>
          <w:b/>
          <w:color w:val="auto"/>
          <w:kern w:val="0"/>
          <w:sz w:val="20"/>
          <w:highlight w:val="none"/>
          <w:u w:val="single"/>
        </w:rPr>
      </w:pPr>
    </w:p>
    <w:p>
      <w:pPr>
        <w:autoSpaceDE w:val="0"/>
        <w:autoSpaceDN w:val="0"/>
        <w:adjustRightInd w:val="0"/>
        <w:snapToGrid w:val="0"/>
        <w:spacing w:line="360" w:lineRule="auto"/>
        <w:jc w:val="left"/>
        <w:rPr>
          <w:rFonts w:ascii="宋体" w:hAnsi="宋体" w:cs="MingLiU"/>
          <w:b/>
          <w:color w:val="auto"/>
          <w:kern w:val="0"/>
          <w:sz w:val="20"/>
          <w:highlight w:val="none"/>
          <w:u w:val="singl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tabs>
          <w:tab w:val="left" w:pos="6080"/>
          <w:tab w:val="left" w:pos="6640"/>
        </w:tabs>
        <w:autoSpaceDE w:val="0"/>
        <w:autoSpaceDN w:val="0"/>
        <w:adjustRightInd w:val="0"/>
        <w:snapToGrid w:val="0"/>
        <w:spacing w:line="360" w:lineRule="auto"/>
        <w:ind w:firstLine="895" w:firstLineChars="450"/>
        <w:rPr>
          <w:rFonts w:ascii="宋体" w:hAnsi="宋体"/>
          <w:b/>
          <w:color w:val="auto"/>
          <w:w w:val="99"/>
          <w:kern w:val="0"/>
          <w:szCs w:val="28"/>
          <w:highlight w:val="none"/>
        </w:rPr>
      </w:pPr>
      <w:r>
        <w:rPr>
          <w:rFonts w:hint="eastAsia" w:ascii="宋体" w:hAnsi="宋体" w:cs="MingLiU"/>
          <w:b/>
          <w:color w:val="auto"/>
          <w:w w:val="99"/>
          <w:kern w:val="0"/>
          <w:szCs w:val="28"/>
          <w:highlight w:val="none"/>
        </w:rPr>
        <w:t>竞选人</w:t>
      </w:r>
      <w:r>
        <w:rPr>
          <w:rFonts w:hint="eastAsia" w:ascii="宋体" w:hAnsi="宋体" w:cs="MingLiU"/>
          <w:b/>
          <w:color w:val="auto"/>
          <w:spacing w:val="1"/>
          <w:w w:val="99"/>
          <w:kern w:val="0"/>
          <w:szCs w:val="28"/>
          <w:highlight w:val="none"/>
        </w:rPr>
        <w:t>：</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（公章）</w:t>
      </w:r>
    </w:p>
    <w:p>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kern w:val="0"/>
          <w:szCs w:val="28"/>
          <w:highlight w:val="none"/>
        </w:rPr>
      </w:pPr>
      <w:r>
        <w:rPr>
          <w:rFonts w:hint="eastAsia" w:ascii="宋体" w:hAnsi="宋体" w:cs="MingLiU"/>
          <w:b/>
          <w:color w:val="auto"/>
          <w:w w:val="99"/>
          <w:kern w:val="0"/>
          <w:szCs w:val="28"/>
          <w:highlight w:val="none"/>
        </w:rPr>
        <w:t>法定代表人或其授权代表：</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（签字）</w:t>
      </w:r>
    </w:p>
    <w:p>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kern w:val="0"/>
          <w:szCs w:val="28"/>
          <w:highlight w:val="none"/>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w w:val="99"/>
          <w:kern w:val="0"/>
          <w:szCs w:val="28"/>
          <w:highlight w:val="none"/>
        </w:rPr>
      </w:pPr>
      <w:r>
        <w:rPr>
          <w:rFonts w:hint="eastAsia" w:ascii="宋体" w:hAnsi="宋体" w:cs="MingLiU"/>
          <w:b/>
          <w:color w:val="auto"/>
          <w:w w:val="99"/>
          <w:kern w:val="0"/>
          <w:szCs w:val="28"/>
          <w:highlight w:val="none"/>
          <w:u w:val="single"/>
        </w:rPr>
        <w:t xml:space="preserve">     　</w:t>
      </w:r>
      <w:r>
        <w:rPr>
          <w:rFonts w:hint="eastAsia" w:ascii="宋体" w:hAnsi="宋体" w:cs="MingLiU"/>
          <w:b/>
          <w:color w:val="auto"/>
          <w:w w:val="99"/>
          <w:kern w:val="0"/>
          <w:szCs w:val="28"/>
          <w:highlight w:val="none"/>
        </w:rPr>
        <w:t>年</w:t>
      </w:r>
      <w:r>
        <w:rPr>
          <w:rFonts w:hint="eastAsia" w:ascii="宋体" w:hAnsi="宋体" w:cs="MingLiU"/>
          <w:b/>
          <w:color w:val="auto"/>
          <w:w w:val="99"/>
          <w:kern w:val="0"/>
          <w:szCs w:val="28"/>
          <w:highlight w:val="none"/>
          <w:u w:val="single"/>
        </w:rPr>
        <w:t>　</w:t>
      </w:r>
      <w:r>
        <w:rPr>
          <w:rFonts w:hint="eastAsia" w:ascii="宋体" w:hAnsi="宋体" w:cs="MingLiU"/>
          <w:b/>
          <w:color w:val="auto"/>
          <w:w w:val="99"/>
          <w:kern w:val="0"/>
          <w:szCs w:val="28"/>
          <w:highlight w:val="none"/>
        </w:rPr>
        <w:t>月</w:t>
      </w:r>
      <w:r>
        <w:rPr>
          <w:rFonts w:hint="eastAsia" w:ascii="宋体" w:hAnsi="宋体" w:cs="MingLiU"/>
          <w:b/>
          <w:color w:val="auto"/>
          <w:w w:val="99"/>
          <w:kern w:val="0"/>
          <w:szCs w:val="28"/>
          <w:highlight w:val="none"/>
          <w:u w:val="single"/>
        </w:rPr>
        <w:t>　</w:t>
      </w:r>
      <w:r>
        <w:rPr>
          <w:rFonts w:hint="eastAsia" w:ascii="宋体" w:hAnsi="宋体" w:cs="MingLiU"/>
          <w:b/>
          <w:color w:val="auto"/>
          <w:w w:val="99"/>
          <w:kern w:val="0"/>
          <w:szCs w:val="28"/>
          <w:highlight w:val="none"/>
        </w:rPr>
        <w:t>日</w:t>
      </w:r>
    </w:p>
    <w:p>
      <w:pPr>
        <w:rPr>
          <w:rFonts w:hint="eastAsia" w:ascii="宋体" w:hAnsi="宋体"/>
          <w:b w:val="0"/>
          <w:color w:val="auto"/>
          <w:sz w:val="24"/>
          <w:szCs w:val="24"/>
          <w:highlight w:val="none"/>
        </w:rPr>
      </w:pPr>
      <w:bookmarkStart w:id="143" w:name="_Toc433792169"/>
      <w:bookmarkStart w:id="144" w:name="_Toc2658"/>
      <w:r>
        <w:rPr>
          <w:rFonts w:hint="eastAsia" w:ascii="宋体" w:hAnsi="宋体"/>
          <w:b w:val="0"/>
          <w:color w:val="auto"/>
          <w:sz w:val="24"/>
          <w:szCs w:val="24"/>
          <w:highlight w:val="none"/>
        </w:rPr>
        <w:br w:type="page"/>
      </w:r>
    </w:p>
    <w:p>
      <w:pPr>
        <w:pStyle w:val="6"/>
        <w:spacing w:before="0" w:after="0" w:line="480" w:lineRule="exact"/>
        <w:rPr>
          <w:rFonts w:ascii="宋体" w:hAnsi="宋体"/>
          <w:b w:val="0"/>
          <w:color w:val="auto"/>
          <w:sz w:val="24"/>
          <w:szCs w:val="24"/>
          <w:highlight w:val="none"/>
        </w:rPr>
      </w:pPr>
      <w:bookmarkStart w:id="145" w:name="_Toc2019"/>
      <w:r>
        <w:rPr>
          <w:rFonts w:hint="eastAsia" w:ascii="宋体" w:hAnsi="宋体"/>
          <w:b w:val="0"/>
          <w:color w:val="auto"/>
          <w:sz w:val="24"/>
          <w:szCs w:val="24"/>
          <w:highlight w:val="none"/>
        </w:rPr>
        <w:t>二、经济部分</w:t>
      </w:r>
      <w:bookmarkEnd w:id="137"/>
      <w:bookmarkEnd w:id="138"/>
      <w:bookmarkEnd w:id="139"/>
      <w:bookmarkEnd w:id="143"/>
      <w:bookmarkEnd w:id="144"/>
      <w:bookmarkEnd w:id="145"/>
    </w:p>
    <w:bookmarkEnd w:id="140"/>
    <w:bookmarkEnd w:id="141"/>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（一）竞争性比选报价函</w:t>
      </w:r>
    </w:p>
    <w:p>
      <w:pPr>
        <w:tabs>
          <w:tab w:val="left" w:pos="6300"/>
        </w:tabs>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竞争性比选报价函</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（比选人名称）                   </w:t>
      </w:r>
      <w:r>
        <w:rPr>
          <w:rFonts w:hint="eastAsia" w:ascii="宋体" w:hAnsi="宋体"/>
          <w:color w:val="auto"/>
          <w:sz w:val="24"/>
          <w:szCs w:val="24"/>
          <w:highlight w:val="none"/>
        </w:rPr>
        <w:t>：</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1．愿意按照竞争性比选文件中的一切要求，提供本项目服务，报价为人民币大写：_____________________；人民币小写：_____________________。</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2．我方现提交的竞选文件为：竞选文件正本</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电子文档</w:t>
      </w:r>
      <w:r>
        <w:rPr>
          <w:rFonts w:hint="eastAsia" w:ascii="宋体" w:hAnsi="宋体"/>
          <w:color w:val="auto"/>
          <w:sz w:val="24"/>
          <w:szCs w:val="24"/>
          <w:highlight w:val="none"/>
          <w:u w:val="single"/>
          <w:lang w:val="en-US" w:eastAsia="zh-CN"/>
        </w:rPr>
        <w:t xml:space="preserve"> 1 </w:t>
      </w:r>
      <w:r>
        <w:rPr>
          <w:rFonts w:hint="eastAsia" w:ascii="宋体" w:hAnsi="宋体"/>
          <w:color w:val="auto"/>
          <w:sz w:val="24"/>
          <w:szCs w:val="24"/>
          <w:highlight w:val="none"/>
          <w:lang w:val="en-US" w:eastAsia="zh-CN"/>
        </w:rPr>
        <w:t>份</w:t>
      </w:r>
      <w:r>
        <w:rPr>
          <w:rFonts w:hint="eastAsia" w:ascii="宋体" w:hAnsi="宋体"/>
          <w:color w:val="auto"/>
          <w:sz w:val="24"/>
          <w:szCs w:val="24"/>
          <w:highlight w:val="none"/>
        </w:rPr>
        <w:t>。</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3．我方承诺：本次比选的有效期为90天。</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7．我方同意按竞争性比选文件规定，交纳竞争性比选文件要求的保证金。如果我方成为中选人，保证在接到中选通知书的</w:t>
      </w:r>
      <w:r>
        <w:rPr>
          <w:rFonts w:ascii="宋体" w:hAnsi="宋体"/>
          <w:color w:val="auto"/>
          <w:sz w:val="24"/>
          <w:szCs w:val="24"/>
          <w:highlight w:val="none"/>
        </w:rPr>
        <w:t>同时</w:t>
      </w:r>
      <w:r>
        <w:rPr>
          <w:rFonts w:hint="eastAsia" w:ascii="宋体" w:hAnsi="宋体"/>
          <w:color w:val="auto"/>
          <w:sz w:val="24"/>
          <w:szCs w:val="24"/>
          <w:highlight w:val="none"/>
        </w:rPr>
        <w:t>，向比选代理机构交纳竞争性比选文件规定的比选代理服务费。</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竞选人（公章）：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地址：  </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联系人：</w:t>
      </w:r>
    </w:p>
    <w:p>
      <w:pPr>
        <w:snapToGrid w:val="0"/>
        <w:spacing w:line="480" w:lineRule="exact"/>
        <w:ind w:firstLine="480" w:firstLineChars="200"/>
        <w:rPr>
          <w:rFonts w:ascii="宋体" w:hAnsi="宋体"/>
          <w:color w:val="auto"/>
          <w:sz w:val="24"/>
          <w:szCs w:val="24"/>
          <w:highlight w:val="none"/>
        </w:rPr>
      </w:pPr>
    </w:p>
    <w:p>
      <w:pPr>
        <w:snapToGrid w:val="0"/>
        <w:spacing w:line="480" w:lineRule="exact"/>
        <w:ind w:firstLine="5280" w:firstLineChars="2200"/>
        <w:rPr>
          <w:rFonts w:ascii="宋体" w:hAnsi="宋体"/>
          <w:color w:val="auto"/>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（二）明细报价表</w:t>
      </w:r>
    </w:p>
    <w:p>
      <w:pPr>
        <w:tabs>
          <w:tab w:val="left" w:pos="6300"/>
        </w:tabs>
        <w:snapToGrid w:val="0"/>
        <w:spacing w:line="48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明细报价表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序号</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名称</w:t>
            </w:r>
          </w:p>
        </w:tc>
        <w:tc>
          <w:tcPr>
            <w:tcW w:w="340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相关信息</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数量</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单价</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总计</w:t>
            </w:r>
          </w:p>
        </w:tc>
        <w:tc>
          <w:tcPr>
            <w:tcW w:w="7436" w:type="dxa"/>
            <w:gridSpan w:val="4"/>
          </w:tcPr>
          <w:p>
            <w:pPr>
              <w:tabs>
                <w:tab w:val="left" w:pos="6300"/>
              </w:tabs>
              <w:snapToGrid w:val="0"/>
              <w:spacing w:line="480" w:lineRule="exact"/>
              <w:ind w:firstLine="480" w:firstLineChars="200"/>
              <w:rPr>
                <w:rFonts w:ascii="宋体" w:hAnsi="宋体"/>
                <w:color w:val="auto"/>
                <w:sz w:val="24"/>
                <w:szCs w:val="24"/>
                <w:highlight w:val="none"/>
              </w:rPr>
            </w:pPr>
          </w:p>
        </w:tc>
      </w:tr>
    </w:tbl>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注：1、请竞选人完整填写本表。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2、该表可扩展</w:t>
      </w:r>
      <w:bookmarkStart w:id="146" w:name="OLE_LINK2"/>
      <w:bookmarkStart w:id="147" w:name="OLE_LINK1"/>
      <w:r>
        <w:rPr>
          <w:rFonts w:hint="eastAsia" w:ascii="宋体" w:hAnsi="宋体"/>
          <w:color w:val="auto"/>
          <w:sz w:val="24"/>
          <w:szCs w:val="24"/>
          <w:highlight w:val="none"/>
        </w:rPr>
        <w:t>。</w:t>
      </w:r>
      <w:bookmarkEnd w:id="146"/>
      <w:bookmarkEnd w:id="147"/>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3、该表可根据项目实际情况调整。</w:t>
      </w: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竞选人名称（公章）：</w:t>
      </w:r>
    </w:p>
    <w:p>
      <w:pPr>
        <w:tabs>
          <w:tab w:val="left" w:pos="6300"/>
        </w:tabs>
        <w:snapToGrid w:val="0"/>
        <w:spacing w:line="480" w:lineRule="exact"/>
        <w:ind w:firstLine="6960" w:firstLineChars="2900"/>
        <w:rPr>
          <w:rFonts w:ascii="宋体" w:hAnsi="宋体"/>
          <w:color w:val="auto"/>
          <w:sz w:val="24"/>
          <w:szCs w:val="24"/>
          <w:highlight w:val="none"/>
        </w:rPr>
      </w:pPr>
      <w:r>
        <w:rPr>
          <w:rFonts w:hint="eastAsia" w:ascii="宋体" w:hAnsi="宋体"/>
          <w:color w:val="auto"/>
          <w:sz w:val="24"/>
          <w:szCs w:val="24"/>
          <w:highlight w:val="none"/>
        </w:rPr>
        <w:t>年     月    日</w:t>
      </w:r>
    </w:p>
    <w:p>
      <w:pPr>
        <w:tabs>
          <w:tab w:val="left" w:pos="6300"/>
        </w:tabs>
        <w:snapToGrid w:val="0"/>
        <w:spacing w:line="480" w:lineRule="exact"/>
        <w:ind w:firstLine="480" w:firstLineChars="200"/>
        <w:rPr>
          <w:rFonts w:ascii="宋体" w:hAnsi="宋体"/>
          <w:color w:val="auto"/>
          <w:sz w:val="24"/>
          <w:szCs w:val="24"/>
          <w:highlight w:val="none"/>
        </w:rPr>
        <w:sectPr>
          <w:headerReference r:id="rId11" w:type="default"/>
          <w:pgSz w:w="11907" w:h="16840"/>
          <w:pgMar w:top="850" w:right="1191" w:bottom="850" w:left="850" w:header="851" w:footer="992" w:gutter="0"/>
          <w:cols w:space="720" w:num="1"/>
          <w:docGrid w:linePitch="380" w:charSpace="-5735"/>
        </w:sectPr>
      </w:pPr>
    </w:p>
    <w:p>
      <w:pPr>
        <w:spacing w:line="480" w:lineRule="exact"/>
        <w:ind w:right="480" w:firstLine="6480" w:firstLineChars="2700"/>
        <w:rPr>
          <w:rFonts w:ascii="宋体" w:hAnsi="宋体"/>
          <w:color w:val="auto"/>
          <w:sz w:val="24"/>
          <w:szCs w:val="24"/>
          <w:highlight w:val="none"/>
        </w:rPr>
      </w:pPr>
    </w:p>
    <w:p>
      <w:pPr>
        <w:pStyle w:val="6"/>
        <w:spacing w:before="0" w:after="0" w:line="480" w:lineRule="exact"/>
        <w:ind w:firstLine="470" w:firstLineChars="196"/>
        <w:rPr>
          <w:rFonts w:ascii="宋体" w:hAnsi="宋体"/>
          <w:b w:val="0"/>
          <w:color w:val="auto"/>
          <w:sz w:val="24"/>
          <w:szCs w:val="24"/>
          <w:highlight w:val="none"/>
        </w:rPr>
      </w:pPr>
      <w:bookmarkStart w:id="148" w:name="_Toc313888361"/>
      <w:bookmarkStart w:id="149" w:name="_Toc342913420"/>
      <w:bookmarkStart w:id="150" w:name="_Toc23724"/>
      <w:bookmarkStart w:id="151" w:name="_Toc433792170"/>
      <w:bookmarkStart w:id="152" w:name="_Toc313008357"/>
      <w:bookmarkStart w:id="153" w:name="_Toc19748"/>
      <w:r>
        <w:rPr>
          <w:rFonts w:hint="eastAsia" w:ascii="宋体" w:hAnsi="宋体"/>
          <w:b w:val="0"/>
          <w:color w:val="auto"/>
          <w:sz w:val="24"/>
          <w:szCs w:val="24"/>
          <w:highlight w:val="none"/>
        </w:rPr>
        <w:t>三、服务部分</w:t>
      </w:r>
      <w:bookmarkEnd w:id="148"/>
      <w:bookmarkEnd w:id="149"/>
      <w:bookmarkEnd w:id="150"/>
      <w:bookmarkEnd w:id="151"/>
      <w:bookmarkEnd w:id="152"/>
      <w:bookmarkEnd w:id="153"/>
    </w:p>
    <w:p>
      <w:pPr>
        <w:tabs>
          <w:tab w:val="left" w:pos="6300"/>
        </w:tabs>
        <w:snapToGrid w:val="0"/>
        <w:spacing w:line="480" w:lineRule="exact"/>
        <w:ind w:firstLine="570"/>
        <w:jc w:val="center"/>
        <w:rPr>
          <w:rFonts w:ascii="宋体" w:hAnsi="宋体"/>
          <w:color w:val="auto"/>
          <w:sz w:val="24"/>
          <w:szCs w:val="24"/>
          <w:highlight w:val="none"/>
        </w:rPr>
      </w:pPr>
      <w:r>
        <w:rPr>
          <w:rFonts w:hint="eastAsia" w:ascii="宋体" w:hAnsi="宋体"/>
          <w:color w:val="auto"/>
          <w:sz w:val="24"/>
          <w:szCs w:val="24"/>
          <w:highlight w:val="none"/>
        </w:rPr>
        <w:t>服务响应偏离表</w:t>
      </w:r>
    </w:p>
    <w:p>
      <w:pPr>
        <w:pStyle w:val="35"/>
        <w:tabs>
          <w:tab w:val="left" w:pos="6300"/>
        </w:tabs>
        <w:snapToGrid w:val="0"/>
        <w:spacing w:line="480" w:lineRule="exact"/>
        <w:ind w:firstLine="480" w:firstLineChars="200"/>
        <w:rPr>
          <w:rFonts w:ascii="宋体" w:hAnsi="宋体"/>
          <w:color w:val="auto"/>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bookmarkStart w:id="154" w:name="_Toc17032"/>
            <w:r>
              <w:rPr>
                <w:rFonts w:hint="eastAsia" w:ascii="宋体" w:hAnsi="宋体"/>
                <w:color w:val="auto"/>
                <w:sz w:val="21"/>
                <w:szCs w:val="21"/>
                <w:highlight w:val="none"/>
              </w:rPr>
              <w:t>序号</w:t>
            </w:r>
            <w:bookmarkEnd w:id="154"/>
          </w:p>
        </w:tc>
        <w:tc>
          <w:tcPr>
            <w:tcW w:w="5813"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bookmarkStart w:id="155" w:name="_Toc26185"/>
            <w:r>
              <w:rPr>
                <w:rFonts w:hint="eastAsia" w:ascii="宋体" w:hAnsi="宋体"/>
                <w:color w:val="auto"/>
                <w:sz w:val="21"/>
                <w:szCs w:val="21"/>
                <w:highlight w:val="none"/>
              </w:rPr>
              <w:t>服务需求</w:t>
            </w:r>
            <w:bookmarkEnd w:id="155"/>
          </w:p>
        </w:tc>
        <w:tc>
          <w:tcPr>
            <w:tcW w:w="975"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bookmarkStart w:id="156" w:name="_Toc17802"/>
            <w:r>
              <w:rPr>
                <w:rFonts w:hint="eastAsia" w:ascii="宋体" w:hAnsi="宋体"/>
                <w:color w:val="auto"/>
                <w:sz w:val="21"/>
                <w:szCs w:val="21"/>
                <w:highlight w:val="none"/>
              </w:rPr>
              <w:t>响应</w:t>
            </w:r>
            <w:bookmarkEnd w:id="156"/>
          </w:p>
          <w:p>
            <w:pPr>
              <w:tabs>
                <w:tab w:val="left" w:pos="6300"/>
              </w:tabs>
              <w:snapToGrid w:val="0"/>
              <w:spacing w:line="500" w:lineRule="exact"/>
              <w:jc w:val="center"/>
              <w:outlineLvl w:val="9"/>
              <w:rPr>
                <w:rFonts w:ascii="宋体" w:hAnsi="宋体"/>
                <w:color w:val="auto"/>
                <w:sz w:val="21"/>
                <w:szCs w:val="21"/>
                <w:highlight w:val="none"/>
              </w:rPr>
            </w:pPr>
            <w:bookmarkStart w:id="157" w:name="_Toc9841"/>
            <w:r>
              <w:rPr>
                <w:rFonts w:hint="eastAsia" w:ascii="宋体" w:hAnsi="宋体"/>
                <w:color w:val="auto"/>
                <w:sz w:val="21"/>
                <w:szCs w:val="21"/>
                <w:highlight w:val="none"/>
              </w:rPr>
              <w:t>情况</w:t>
            </w:r>
            <w:bookmarkEnd w:id="157"/>
          </w:p>
        </w:tc>
        <w:tc>
          <w:tcPr>
            <w:tcW w:w="977"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bookmarkStart w:id="158" w:name="_Toc11563"/>
            <w:r>
              <w:rPr>
                <w:rFonts w:hint="eastAsia" w:ascii="宋体" w:hAnsi="宋体"/>
                <w:color w:val="auto"/>
                <w:sz w:val="21"/>
                <w:szCs w:val="21"/>
                <w:highlight w:val="none"/>
              </w:rPr>
              <w:t>差异</w:t>
            </w:r>
            <w:bookmarkEnd w:id="158"/>
          </w:p>
          <w:p>
            <w:pPr>
              <w:tabs>
                <w:tab w:val="left" w:pos="6300"/>
              </w:tabs>
              <w:snapToGrid w:val="0"/>
              <w:spacing w:line="500" w:lineRule="exact"/>
              <w:jc w:val="center"/>
              <w:outlineLvl w:val="9"/>
              <w:rPr>
                <w:rFonts w:ascii="宋体" w:hAnsi="宋体"/>
                <w:color w:val="auto"/>
                <w:sz w:val="21"/>
                <w:szCs w:val="21"/>
                <w:highlight w:val="none"/>
              </w:rPr>
            </w:pPr>
            <w:bookmarkStart w:id="159" w:name="_Toc27741"/>
            <w:r>
              <w:rPr>
                <w:rFonts w:hint="eastAsia" w:ascii="宋体" w:hAnsi="宋体"/>
                <w:color w:val="auto"/>
                <w:sz w:val="21"/>
                <w:szCs w:val="21"/>
                <w:highlight w:val="none"/>
              </w:rPr>
              <w:t>说明</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2"/>
                <w:szCs w:val="22"/>
                <w:highlight w:val="none"/>
              </w:rPr>
            </w:pPr>
            <w:bookmarkStart w:id="160" w:name="_Toc1433"/>
            <w:r>
              <w:rPr>
                <w:rFonts w:hint="eastAsia" w:ascii="宋体" w:hAnsi="宋体"/>
                <w:color w:val="auto"/>
                <w:sz w:val="22"/>
                <w:szCs w:val="22"/>
                <w:highlight w:val="none"/>
              </w:rPr>
              <w:t>1</w:t>
            </w:r>
            <w:bookmarkEnd w:id="160"/>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olor w:val="auto"/>
                <w:sz w:val="22"/>
                <w:szCs w:val="22"/>
                <w:highlight w:val="none"/>
              </w:rPr>
            </w:pPr>
          </w:p>
        </w:tc>
        <w:tc>
          <w:tcPr>
            <w:tcW w:w="975"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2"/>
                <w:szCs w:val="22"/>
                <w:highlight w:val="none"/>
              </w:rPr>
            </w:pPr>
            <w:bookmarkStart w:id="161" w:name="_Toc2510"/>
            <w:r>
              <w:rPr>
                <w:rFonts w:hint="eastAsia" w:ascii="宋体" w:hAnsi="宋体"/>
                <w:color w:val="auto"/>
                <w:sz w:val="22"/>
                <w:szCs w:val="22"/>
                <w:highlight w:val="none"/>
              </w:rPr>
              <w:t>2</w:t>
            </w:r>
            <w:bookmarkEnd w:id="161"/>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olor w:val="auto"/>
                <w:sz w:val="22"/>
                <w:szCs w:val="22"/>
                <w:highlight w:val="none"/>
              </w:rPr>
            </w:pPr>
          </w:p>
        </w:tc>
        <w:tc>
          <w:tcPr>
            <w:tcW w:w="975"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2"/>
                <w:szCs w:val="22"/>
                <w:highlight w:val="none"/>
              </w:rPr>
            </w:pPr>
            <w:r>
              <w:rPr>
                <w:rFonts w:hint="eastAsia" w:ascii="宋体" w:hAnsi="宋体"/>
                <w:color w:val="auto"/>
                <w:sz w:val="22"/>
                <w:szCs w:val="22"/>
                <w:highlight w:val="none"/>
              </w:rPr>
              <w:t>3</w:t>
            </w:r>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olor w:val="auto"/>
                <w:sz w:val="22"/>
                <w:szCs w:val="22"/>
                <w:highlight w:val="none"/>
              </w:rPr>
            </w:pPr>
          </w:p>
        </w:tc>
        <w:tc>
          <w:tcPr>
            <w:tcW w:w="975"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outlineLvl w:val="9"/>
              <w:rPr>
                <w:rFonts w:ascii="宋体" w:hAnsi="宋体"/>
                <w:color w:val="auto"/>
                <w:sz w:val="21"/>
                <w:szCs w:val="21"/>
                <w:highlight w:val="none"/>
              </w:rPr>
            </w:pPr>
          </w:p>
        </w:tc>
      </w:tr>
    </w:tbl>
    <w:p>
      <w:pPr>
        <w:rPr>
          <w:color w:val="auto"/>
          <w:highlight w:val="none"/>
        </w:rPr>
      </w:pPr>
    </w:p>
    <w:p>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pPr>
        <w:spacing w:line="480" w:lineRule="exact"/>
        <w:rPr>
          <w:rFonts w:ascii="宋体" w:hAnsi="宋体"/>
          <w:color w:val="auto"/>
          <w:sz w:val="24"/>
          <w:szCs w:val="24"/>
          <w:highlight w:val="none"/>
        </w:rPr>
      </w:pPr>
    </w:p>
    <w:p>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（竞选人公章）                               （签字或盖章）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4.若具体参数复杂无法完全填入上表中，可后页附上相关参数内容。（格式自定）</w:t>
      </w:r>
    </w:p>
    <w:p>
      <w:pPr>
        <w:tabs>
          <w:tab w:val="left" w:pos="6300"/>
        </w:tabs>
        <w:snapToGrid w:val="0"/>
        <w:spacing w:line="480" w:lineRule="exact"/>
        <w:rPr>
          <w:rFonts w:ascii="宋体" w:hAnsi="宋体"/>
          <w:color w:val="auto"/>
          <w:sz w:val="21"/>
          <w:szCs w:val="21"/>
          <w:highlight w:val="none"/>
        </w:rPr>
      </w:pPr>
      <w:bookmarkStart w:id="162" w:name="_Toc313888362"/>
      <w:bookmarkStart w:id="163" w:name="_Toc313008358"/>
      <w:bookmarkStart w:id="164" w:name="_Toc342913421"/>
    </w:p>
    <w:p>
      <w:pPr>
        <w:tabs>
          <w:tab w:val="left" w:pos="6300"/>
        </w:tabs>
        <w:snapToGrid w:val="0"/>
        <w:spacing w:line="480" w:lineRule="exact"/>
        <w:ind w:firstLine="480" w:firstLineChars="200"/>
        <w:rPr>
          <w:rFonts w:ascii="宋体" w:hAnsi="宋体"/>
          <w:color w:val="auto"/>
          <w:sz w:val="24"/>
          <w:szCs w:val="24"/>
          <w:highlight w:val="none"/>
        </w:rPr>
        <w:sectPr>
          <w:headerReference r:id="rId12" w:type="default"/>
          <w:pgSz w:w="11907" w:h="16840"/>
          <w:pgMar w:top="850" w:right="850" w:bottom="850" w:left="850" w:header="851" w:footer="992" w:gutter="0"/>
          <w:cols w:space="720" w:num="1"/>
          <w:docGrid w:linePitch="380" w:charSpace="-5735"/>
        </w:sect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（二）服务评审需提供的材料（服务方案等，格式自定）</w:t>
      </w:r>
    </w:p>
    <w:p>
      <w:pPr>
        <w:tabs>
          <w:tab w:val="left" w:pos="6300"/>
        </w:tabs>
        <w:snapToGrid w:val="0"/>
        <w:spacing w:line="480" w:lineRule="exact"/>
        <w:ind w:firstLine="420" w:firstLineChars="200"/>
        <w:rPr>
          <w:rFonts w:ascii="宋体" w:hAnsi="宋体"/>
          <w:color w:val="auto"/>
          <w:sz w:val="21"/>
          <w:szCs w:val="21"/>
          <w:highlight w:val="none"/>
        </w:rPr>
      </w:pPr>
    </w:p>
    <w:p>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根据“第四篇”之“二、评审标准”中的“服务部分”评分内容拟定材料。</w:t>
      </w:r>
    </w:p>
    <w:p>
      <w:pPr>
        <w:tabs>
          <w:tab w:val="left" w:pos="6300"/>
        </w:tabs>
        <w:snapToGrid w:val="0"/>
        <w:spacing w:line="480" w:lineRule="exact"/>
        <w:ind w:firstLine="420" w:firstLineChars="200"/>
        <w:outlineLvl w:val="2"/>
        <w:rPr>
          <w:rFonts w:ascii="宋体" w:hAnsi="宋体"/>
          <w:color w:val="auto"/>
          <w:sz w:val="24"/>
          <w:szCs w:val="24"/>
          <w:highlight w:val="none"/>
        </w:rPr>
      </w:pPr>
      <w:r>
        <w:rPr>
          <w:rFonts w:ascii="宋体" w:hAnsi="宋体"/>
          <w:color w:val="auto"/>
          <w:sz w:val="21"/>
          <w:szCs w:val="21"/>
          <w:highlight w:val="none"/>
        </w:rPr>
        <w:br w:type="page"/>
      </w:r>
      <w:bookmarkStart w:id="165" w:name="_Toc433792171"/>
      <w:bookmarkStart w:id="166" w:name="_Toc19237"/>
      <w:r>
        <w:rPr>
          <w:rFonts w:hint="eastAsia" w:ascii="宋体" w:hAnsi="宋体"/>
          <w:color w:val="auto"/>
          <w:sz w:val="24"/>
          <w:szCs w:val="24"/>
          <w:highlight w:val="none"/>
        </w:rPr>
        <w:t>四、商务部分</w:t>
      </w:r>
      <w:bookmarkEnd w:id="162"/>
      <w:bookmarkEnd w:id="163"/>
      <w:bookmarkEnd w:id="164"/>
      <w:bookmarkEnd w:id="165"/>
      <w:bookmarkEnd w:id="166"/>
    </w:p>
    <w:p>
      <w:pPr>
        <w:spacing w:line="480" w:lineRule="exact"/>
        <w:ind w:firstLine="480" w:firstLineChars="200"/>
        <w:rPr>
          <w:rFonts w:ascii="宋体" w:hAnsi="宋体"/>
          <w:color w:val="auto"/>
          <w:sz w:val="24"/>
          <w:szCs w:val="24"/>
          <w:highlight w:val="none"/>
        </w:rPr>
      </w:pPr>
      <w:bookmarkStart w:id="167" w:name="_Toc283382459"/>
      <w:r>
        <w:rPr>
          <w:rFonts w:hint="eastAsia" w:ascii="宋体" w:hAnsi="宋体"/>
          <w:color w:val="auto"/>
          <w:sz w:val="24"/>
          <w:szCs w:val="24"/>
          <w:highlight w:val="none"/>
        </w:rPr>
        <w:t>（一）商务响应偏离表</w:t>
      </w:r>
    </w:p>
    <w:p>
      <w:pPr>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68" w:name="_Toc22883"/>
            <w:r>
              <w:rPr>
                <w:rFonts w:hint="eastAsia" w:ascii="宋体" w:hAnsi="宋体"/>
                <w:color w:val="auto"/>
                <w:sz w:val="21"/>
                <w:szCs w:val="21"/>
                <w:highlight w:val="none"/>
              </w:rPr>
              <w:t>序号</w:t>
            </w:r>
            <w:bookmarkEnd w:id="168"/>
          </w:p>
        </w:tc>
        <w:tc>
          <w:tcPr>
            <w:tcW w:w="6317"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69" w:name="_Toc27788"/>
            <w:r>
              <w:rPr>
                <w:rFonts w:hint="eastAsia" w:ascii="宋体" w:hAnsi="宋体"/>
                <w:color w:val="auto"/>
                <w:sz w:val="21"/>
                <w:szCs w:val="21"/>
                <w:highlight w:val="none"/>
              </w:rPr>
              <w:t>比选项目需求</w:t>
            </w:r>
            <w:bookmarkEnd w:id="169"/>
          </w:p>
        </w:tc>
        <w:tc>
          <w:tcPr>
            <w:tcW w:w="1150"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0" w:name="_Toc31495"/>
            <w:r>
              <w:rPr>
                <w:rFonts w:hint="eastAsia" w:ascii="宋体" w:hAnsi="宋体"/>
                <w:color w:val="auto"/>
                <w:sz w:val="21"/>
                <w:szCs w:val="21"/>
                <w:highlight w:val="none"/>
              </w:rPr>
              <w:t>响应</w:t>
            </w:r>
            <w:bookmarkEnd w:id="170"/>
          </w:p>
          <w:p>
            <w:pPr>
              <w:tabs>
                <w:tab w:val="left" w:pos="6300"/>
              </w:tabs>
              <w:snapToGrid w:val="0"/>
              <w:spacing w:line="480" w:lineRule="exact"/>
              <w:jc w:val="center"/>
              <w:outlineLvl w:val="9"/>
              <w:rPr>
                <w:rFonts w:ascii="宋体" w:hAnsi="宋体"/>
                <w:color w:val="auto"/>
                <w:sz w:val="21"/>
                <w:szCs w:val="21"/>
                <w:highlight w:val="none"/>
              </w:rPr>
            </w:pPr>
            <w:bookmarkStart w:id="171" w:name="_Toc13029"/>
            <w:r>
              <w:rPr>
                <w:rFonts w:hint="eastAsia" w:ascii="宋体" w:hAnsi="宋体"/>
                <w:color w:val="auto"/>
                <w:sz w:val="21"/>
                <w:szCs w:val="21"/>
                <w:highlight w:val="none"/>
              </w:rPr>
              <w:t>情况</w:t>
            </w:r>
            <w:bookmarkEnd w:id="171"/>
          </w:p>
        </w:tc>
        <w:tc>
          <w:tcPr>
            <w:tcW w:w="908"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2" w:name="_Toc28616"/>
            <w:r>
              <w:rPr>
                <w:rFonts w:hint="eastAsia" w:ascii="宋体" w:hAnsi="宋体"/>
                <w:color w:val="auto"/>
                <w:sz w:val="21"/>
                <w:szCs w:val="21"/>
                <w:highlight w:val="none"/>
              </w:rPr>
              <w:t>差异</w:t>
            </w:r>
            <w:bookmarkEnd w:id="172"/>
          </w:p>
          <w:p>
            <w:pPr>
              <w:tabs>
                <w:tab w:val="left" w:pos="6300"/>
              </w:tabs>
              <w:snapToGrid w:val="0"/>
              <w:spacing w:line="480" w:lineRule="exact"/>
              <w:jc w:val="center"/>
              <w:outlineLvl w:val="9"/>
              <w:rPr>
                <w:rFonts w:ascii="宋体" w:hAnsi="宋体"/>
                <w:color w:val="auto"/>
                <w:sz w:val="21"/>
                <w:szCs w:val="21"/>
                <w:highlight w:val="none"/>
              </w:rPr>
            </w:pPr>
            <w:bookmarkStart w:id="173" w:name="_Toc8280"/>
            <w:r>
              <w:rPr>
                <w:rFonts w:hint="eastAsia" w:ascii="宋体" w:hAnsi="宋体"/>
                <w:color w:val="auto"/>
                <w:sz w:val="21"/>
                <w:szCs w:val="21"/>
                <w:highlight w:val="none"/>
              </w:rPr>
              <w:t>说明</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4" w:name="_Toc23281"/>
            <w:r>
              <w:rPr>
                <w:rFonts w:hint="eastAsia" w:ascii="宋体" w:hAnsi="宋体"/>
                <w:color w:val="auto"/>
                <w:sz w:val="21"/>
                <w:szCs w:val="21"/>
                <w:highlight w:val="none"/>
              </w:rPr>
              <w:t>1</w:t>
            </w:r>
            <w:bookmarkEnd w:id="174"/>
          </w:p>
        </w:tc>
        <w:tc>
          <w:tcPr>
            <w:tcW w:w="6317" w:type="dxa"/>
            <w:noWrap/>
            <w:vAlign w:val="center"/>
          </w:tcPr>
          <w:p>
            <w:pPr>
              <w:spacing w:before="0" w:after="0" w:line="360" w:lineRule="auto"/>
              <w:outlineLvl w:val="9"/>
              <w:rPr>
                <w:bCs/>
                <w:color w:val="auto"/>
                <w:sz w:val="24"/>
                <w:szCs w:val="24"/>
                <w:highlight w:val="none"/>
                <w:lang w:val="zh-CN"/>
              </w:rPr>
            </w:pPr>
            <w:r>
              <w:rPr>
                <w:rFonts w:hint="eastAsia"/>
                <w:color w:val="auto"/>
                <w:sz w:val="24"/>
                <w:szCs w:val="24"/>
                <w:highlight w:val="none"/>
              </w:rPr>
              <w:t>★</w:t>
            </w:r>
            <w:r>
              <w:rPr>
                <w:rFonts w:hint="eastAsia"/>
                <w:bCs/>
                <w:color w:val="auto"/>
                <w:sz w:val="24"/>
                <w:szCs w:val="24"/>
                <w:highlight w:val="none"/>
                <w:lang w:val="zh-CN"/>
              </w:rPr>
              <w:t>一、服务期、服务地点及验收方式</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（一）服务期限：</w:t>
            </w:r>
            <w:r>
              <w:rPr>
                <w:rFonts w:hint="eastAsia" w:ascii="宋体" w:hAnsi="宋体" w:eastAsia="宋体"/>
                <w:color w:val="auto"/>
                <w:sz w:val="24"/>
                <w:szCs w:val="24"/>
                <w:highlight w:val="none"/>
                <w:lang w:val="en-US" w:eastAsia="zh-CN"/>
              </w:rPr>
              <w:t>自合同签订之日起60日历天完成</w:t>
            </w:r>
            <w:r>
              <w:rPr>
                <w:rFonts w:hint="eastAsia" w:ascii="宋体" w:hAnsi="宋体" w:eastAsia="宋体"/>
                <w:color w:val="auto"/>
                <w:sz w:val="24"/>
                <w:szCs w:val="24"/>
                <w:highlight w:val="none"/>
              </w:rPr>
              <w:t>。</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（二）服务地点：比选人指定地点。</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（三）验收方式：</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1.验收组织单位：重庆市制造业人才服务中心。</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80" w:firstLineChars="200"/>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3.验收所产生的一切费用由中选单位承担。</w:t>
            </w:r>
          </w:p>
          <w:p>
            <w:pPr>
              <w:spacing w:line="360" w:lineRule="auto"/>
              <w:ind w:firstLine="480" w:firstLineChars="200"/>
              <w:outlineLvl w:val="9"/>
              <w:rPr>
                <w:rFonts w:ascii="宋体" w:hAnsi="宋体"/>
                <w:color w:val="auto"/>
                <w:sz w:val="18"/>
                <w:szCs w:val="18"/>
                <w:highlight w:val="none"/>
              </w:rPr>
            </w:pPr>
            <w:r>
              <w:rPr>
                <w:rFonts w:hint="eastAsia" w:ascii="宋体" w:hAnsi="宋体" w:eastAsia="宋体"/>
                <w:color w:val="auto"/>
                <w:sz w:val="24"/>
                <w:szCs w:val="24"/>
                <w:highlight w:val="none"/>
              </w:rPr>
              <w:t>4.若有需要，中选单位应配合比选人完成项目审计。</w:t>
            </w: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5" w:name="_Toc8521"/>
            <w:r>
              <w:rPr>
                <w:rFonts w:hint="eastAsia" w:ascii="宋体" w:hAnsi="宋体"/>
                <w:color w:val="auto"/>
                <w:sz w:val="21"/>
                <w:szCs w:val="21"/>
                <w:highlight w:val="none"/>
              </w:rPr>
              <w:t>2</w:t>
            </w:r>
            <w:bookmarkEnd w:id="175"/>
          </w:p>
        </w:tc>
        <w:tc>
          <w:tcPr>
            <w:tcW w:w="6317" w:type="dxa"/>
            <w:noWrap/>
            <w:vAlign w:val="center"/>
          </w:tcPr>
          <w:p>
            <w:pPr>
              <w:spacing w:before="0" w:after="0" w:line="360" w:lineRule="auto"/>
              <w:outlineLvl w:val="9"/>
              <w:rPr>
                <w:bCs/>
                <w:color w:val="auto"/>
                <w:sz w:val="24"/>
                <w:szCs w:val="24"/>
                <w:highlight w:val="none"/>
                <w:lang w:val="zh-CN"/>
              </w:rPr>
            </w:pPr>
            <w:r>
              <w:rPr>
                <w:rFonts w:hint="eastAsia"/>
                <w:color w:val="auto"/>
                <w:sz w:val="24"/>
                <w:szCs w:val="24"/>
                <w:highlight w:val="none"/>
              </w:rPr>
              <w:t>★</w:t>
            </w:r>
            <w:r>
              <w:rPr>
                <w:rFonts w:hint="eastAsia"/>
                <w:bCs/>
                <w:color w:val="auto"/>
                <w:sz w:val="24"/>
                <w:szCs w:val="24"/>
                <w:highlight w:val="none"/>
                <w:lang w:val="zh-CN"/>
              </w:rPr>
              <w:t>二、报价要求</w:t>
            </w:r>
          </w:p>
          <w:p>
            <w:pPr>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竞选人的报价应包括完成项目的全部费用。按照甲方项目服务需求，竞选人服务内容包括但不限于调研费用、咨询费用、软件开发服务费用、差旅费、培训费、质保费、运维费、管理费、利润、税费、中选后支付给比选代理机构的代理服务费及其它与本项目相关的一切费用，比选人除此以外不支付其它费用。因竞选人自身原因造成漏报、少报皆由其自行承担责任，比选人不再补偿。</w:t>
            </w:r>
          </w:p>
          <w:p>
            <w:pPr>
              <w:spacing w:line="360" w:lineRule="auto"/>
              <w:ind w:firstLine="360" w:firstLineChars="200"/>
              <w:outlineLvl w:val="9"/>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6" w:name="_Toc19995"/>
            <w:r>
              <w:rPr>
                <w:rFonts w:hint="eastAsia" w:ascii="宋体" w:hAnsi="宋体"/>
                <w:color w:val="auto"/>
                <w:sz w:val="21"/>
                <w:szCs w:val="21"/>
                <w:highlight w:val="none"/>
              </w:rPr>
              <w:t>3</w:t>
            </w:r>
            <w:bookmarkEnd w:id="176"/>
          </w:p>
        </w:tc>
        <w:tc>
          <w:tcPr>
            <w:tcW w:w="6317" w:type="dxa"/>
            <w:noWrap/>
            <w:vAlign w:val="center"/>
          </w:tcPr>
          <w:p>
            <w:pPr>
              <w:spacing w:line="360" w:lineRule="auto"/>
              <w:ind w:firstLine="480" w:firstLineChars="200"/>
              <w:outlineLvl w:val="9"/>
              <w:rPr>
                <w:rFonts w:ascii="宋体" w:hAnsi="宋体"/>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三、付款方式</w:t>
            </w:r>
          </w:p>
          <w:p>
            <w:pPr>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p>
          <w:p>
            <w:pPr>
              <w:spacing w:line="360" w:lineRule="auto"/>
              <w:ind w:firstLine="360" w:firstLineChars="200"/>
              <w:outlineLvl w:val="9"/>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7" w:name="_Toc19308"/>
            <w:r>
              <w:rPr>
                <w:rFonts w:hint="eastAsia" w:ascii="宋体" w:hAnsi="宋体"/>
                <w:color w:val="auto"/>
                <w:sz w:val="21"/>
                <w:szCs w:val="21"/>
                <w:highlight w:val="none"/>
              </w:rPr>
              <w:t>4</w:t>
            </w:r>
            <w:bookmarkEnd w:id="177"/>
          </w:p>
        </w:tc>
        <w:tc>
          <w:tcPr>
            <w:tcW w:w="6317" w:type="dxa"/>
            <w:noWrap/>
            <w:vAlign w:val="center"/>
          </w:tcPr>
          <w:p>
            <w:pPr>
              <w:spacing w:before="0" w:after="0" w:line="360" w:lineRule="auto"/>
              <w:outlineLvl w:val="9"/>
              <w:rPr>
                <w:color w:val="auto"/>
                <w:sz w:val="24"/>
                <w:szCs w:val="24"/>
                <w:highlight w:val="none"/>
              </w:rPr>
            </w:pPr>
            <w:r>
              <w:rPr>
                <w:rFonts w:hint="eastAsia"/>
                <w:color w:val="auto"/>
                <w:sz w:val="24"/>
                <w:szCs w:val="24"/>
                <w:highlight w:val="none"/>
              </w:rPr>
              <w:t>★四、违约条款</w:t>
            </w:r>
          </w:p>
          <w:p>
            <w:pPr>
              <w:keepNext/>
              <w:keepLines/>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（一）若中选单位未在比选人要求的时间内完成本项目的，每延后1天中选单位应向比选人支付合同金额3%的违约金；延后时间超过10天的，比选人有权终止合同，不支付合同款并追究中选单位相关法律责任。</w:t>
            </w:r>
          </w:p>
          <w:p>
            <w:pPr>
              <w:keepNext/>
              <w:keepLines/>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p>
          <w:p>
            <w:pPr>
              <w:spacing w:before="0" w:after="0" w:line="360" w:lineRule="auto"/>
              <w:ind w:firstLine="360" w:firstLineChars="200"/>
              <w:outlineLvl w:val="9"/>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8" w:name="_Toc10345"/>
            <w:r>
              <w:rPr>
                <w:rFonts w:hint="eastAsia" w:ascii="宋体" w:hAnsi="宋体"/>
                <w:color w:val="auto"/>
                <w:sz w:val="21"/>
                <w:szCs w:val="21"/>
                <w:highlight w:val="none"/>
              </w:rPr>
              <w:t>5</w:t>
            </w:r>
            <w:bookmarkEnd w:id="178"/>
          </w:p>
        </w:tc>
        <w:tc>
          <w:tcPr>
            <w:tcW w:w="6317" w:type="dxa"/>
            <w:noWrap/>
            <w:vAlign w:val="center"/>
          </w:tcPr>
          <w:p>
            <w:pPr>
              <w:spacing w:before="0" w:after="0" w:line="360" w:lineRule="auto"/>
              <w:outlineLvl w:val="9"/>
              <w:rPr>
                <w:color w:val="auto"/>
                <w:sz w:val="24"/>
                <w:szCs w:val="24"/>
                <w:highlight w:val="none"/>
              </w:rPr>
            </w:pPr>
            <w:r>
              <w:rPr>
                <w:rFonts w:hint="eastAsia"/>
                <w:color w:val="auto"/>
                <w:sz w:val="24"/>
                <w:szCs w:val="24"/>
                <w:highlight w:val="none"/>
              </w:rPr>
              <w:t>★五、不可抗力</w:t>
            </w:r>
          </w:p>
          <w:p>
            <w:pPr>
              <w:keepNext/>
              <w:keepLines/>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因相关政策调整等不可抗力原因致使本项目取消的，或因客观原因致使合同无法订立或订立后因无法履行而解除的，比选人不承担任何责任</w:t>
            </w:r>
            <w:r>
              <w:rPr>
                <w:rFonts w:hint="eastAsia" w:ascii="宋体" w:hAnsi="宋体"/>
                <w:color w:val="auto"/>
                <w:sz w:val="24"/>
                <w:szCs w:val="24"/>
                <w:highlight w:val="none"/>
                <w:lang w:eastAsia="zh-CN"/>
              </w:rPr>
              <w:t>。</w:t>
            </w:r>
            <w:r>
              <w:rPr>
                <w:rFonts w:hint="eastAsia" w:ascii="宋体" w:hAnsi="宋体"/>
                <w:color w:val="auto"/>
                <w:sz w:val="24"/>
                <w:szCs w:val="24"/>
                <w:highlight w:val="none"/>
              </w:rPr>
              <w:t>（竞选人提供承诺函原件，详见“第七篇 竞选文件编制要求”所附格式文件。）</w:t>
            </w:r>
          </w:p>
          <w:p>
            <w:pPr>
              <w:tabs>
                <w:tab w:val="left" w:pos="6300"/>
              </w:tabs>
              <w:snapToGrid w:val="0"/>
              <w:spacing w:line="480" w:lineRule="exact"/>
              <w:jc w:val="center"/>
              <w:outlineLvl w:val="9"/>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79" w:name="_Toc21922"/>
            <w:r>
              <w:rPr>
                <w:rFonts w:hint="eastAsia" w:ascii="宋体" w:hAnsi="宋体"/>
                <w:color w:val="auto"/>
                <w:sz w:val="21"/>
                <w:szCs w:val="21"/>
                <w:highlight w:val="none"/>
              </w:rPr>
              <w:t>6</w:t>
            </w:r>
            <w:bookmarkEnd w:id="179"/>
          </w:p>
        </w:tc>
        <w:tc>
          <w:tcPr>
            <w:tcW w:w="6317" w:type="dxa"/>
            <w:noWrap/>
            <w:vAlign w:val="center"/>
          </w:tcPr>
          <w:p>
            <w:pPr>
              <w:spacing w:before="0" w:after="0" w:line="360" w:lineRule="auto"/>
              <w:outlineLvl w:val="9"/>
              <w:rPr>
                <w:color w:val="auto"/>
                <w:sz w:val="24"/>
                <w:szCs w:val="24"/>
                <w:highlight w:val="none"/>
              </w:rPr>
            </w:pPr>
            <w:r>
              <w:rPr>
                <w:rFonts w:hint="eastAsia"/>
                <w:color w:val="auto"/>
                <w:sz w:val="24"/>
                <w:szCs w:val="24"/>
                <w:highlight w:val="none"/>
              </w:rPr>
              <w:t>★六、知识产权</w:t>
            </w:r>
          </w:p>
          <w:p>
            <w:pPr>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427" w:firstLineChars="178"/>
              <w:outlineLvl w:val="9"/>
              <w:rPr>
                <w:rFonts w:ascii="宋体" w:hAnsi="宋体"/>
                <w:color w:val="auto"/>
                <w:sz w:val="24"/>
                <w:szCs w:val="24"/>
                <w:highlight w:val="none"/>
              </w:rPr>
            </w:pPr>
            <w:r>
              <w:rPr>
                <w:rFonts w:hint="eastAsia" w:ascii="宋体" w:hAnsi="宋体"/>
                <w:color w:val="auto"/>
                <w:sz w:val="24"/>
                <w:szCs w:val="24"/>
                <w:highlight w:val="none"/>
              </w:rPr>
              <w:t>（二）本项目知识产权归比选人所有，中选单位需配合比选人对本项目知识产权进行保护。</w:t>
            </w:r>
          </w:p>
          <w:p>
            <w:pPr>
              <w:spacing w:line="360" w:lineRule="auto"/>
              <w:ind w:firstLine="320" w:firstLineChars="178"/>
              <w:outlineLvl w:val="9"/>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9"/>
              <w:rPr>
                <w:rFonts w:ascii="宋体" w:hAnsi="宋体"/>
                <w:color w:val="auto"/>
                <w:sz w:val="21"/>
                <w:szCs w:val="21"/>
                <w:highlight w:val="none"/>
              </w:rPr>
            </w:pPr>
            <w:bookmarkStart w:id="180" w:name="_Toc2254"/>
            <w:r>
              <w:rPr>
                <w:rFonts w:hint="eastAsia" w:ascii="宋体" w:hAnsi="宋体"/>
                <w:color w:val="auto"/>
                <w:sz w:val="21"/>
                <w:szCs w:val="21"/>
                <w:highlight w:val="none"/>
              </w:rPr>
              <w:t>7</w:t>
            </w:r>
            <w:bookmarkEnd w:id="180"/>
          </w:p>
        </w:tc>
        <w:tc>
          <w:tcPr>
            <w:tcW w:w="6317" w:type="dxa"/>
            <w:noWrap/>
            <w:vAlign w:val="center"/>
          </w:tcPr>
          <w:p>
            <w:pPr>
              <w:spacing w:before="0" w:after="0" w:line="360" w:lineRule="auto"/>
              <w:outlineLvl w:val="9"/>
              <w:rPr>
                <w:color w:val="auto"/>
                <w:sz w:val="24"/>
                <w:szCs w:val="24"/>
                <w:highlight w:val="none"/>
              </w:rPr>
            </w:pPr>
            <w:r>
              <w:rPr>
                <w:rFonts w:hint="eastAsia" w:ascii="宋体" w:hAnsi="宋体"/>
                <w:color w:val="auto"/>
                <w:sz w:val="24"/>
                <w:szCs w:val="24"/>
                <w:highlight w:val="none"/>
              </w:rPr>
              <w:t>七、</w:t>
            </w:r>
            <w:r>
              <w:rPr>
                <w:rFonts w:hint="eastAsia"/>
                <w:color w:val="auto"/>
                <w:sz w:val="24"/>
                <w:szCs w:val="24"/>
                <w:highlight w:val="none"/>
              </w:rPr>
              <w:t>其他</w:t>
            </w:r>
          </w:p>
          <w:p>
            <w:pPr>
              <w:snapToGrid w:val="0"/>
              <w:spacing w:line="360" w:lineRule="auto"/>
              <w:ind w:firstLine="480" w:firstLineChars="200"/>
              <w:outlineLvl w:val="9"/>
              <w:rPr>
                <w:color w:val="auto"/>
                <w:sz w:val="24"/>
                <w:szCs w:val="24"/>
                <w:highlight w:val="none"/>
              </w:rPr>
            </w:pPr>
            <w:r>
              <w:rPr>
                <w:rFonts w:hint="eastAsia"/>
                <w:color w:val="auto"/>
                <w:sz w:val="24"/>
                <w:szCs w:val="24"/>
                <w:highlight w:val="none"/>
              </w:rPr>
              <w:t>（一）竞选人必须在竞选文件中对以上条款和服务承诺明确列出，承诺内容必须达到本篇及比选文件其他条款的要求。</w:t>
            </w:r>
          </w:p>
          <w:p>
            <w:pPr>
              <w:snapToGrid w:val="0"/>
              <w:spacing w:line="360" w:lineRule="auto"/>
              <w:ind w:firstLine="480" w:firstLineChars="200"/>
              <w:outlineLvl w:val="9"/>
              <w:rPr>
                <w:rFonts w:ascii="宋体" w:hAnsi="宋体"/>
                <w:color w:val="auto"/>
                <w:sz w:val="20"/>
                <w:highlight w:val="none"/>
              </w:rPr>
            </w:pPr>
            <w:r>
              <w:rPr>
                <w:rFonts w:hint="eastAsia"/>
                <w:color w:val="auto"/>
                <w:sz w:val="24"/>
                <w:szCs w:val="24"/>
                <w:highlight w:val="none"/>
              </w:rPr>
              <w:t>（二）其他未尽事宜由供需双方在采购合同中详细约定。</w:t>
            </w:r>
          </w:p>
        </w:tc>
        <w:tc>
          <w:tcPr>
            <w:tcW w:w="1150" w:type="dxa"/>
            <w:noWrap/>
            <w:vAlign w:val="center"/>
          </w:tcPr>
          <w:p>
            <w:pPr>
              <w:tabs>
                <w:tab w:val="left" w:pos="6300"/>
              </w:tabs>
              <w:snapToGrid w:val="0"/>
              <w:spacing w:line="480" w:lineRule="exact"/>
              <w:jc w:val="center"/>
              <w:outlineLvl w:val="9"/>
              <w:rPr>
                <w:rFonts w:ascii="宋体" w:hAnsi="宋体"/>
                <w:color w:val="auto"/>
                <w:sz w:val="20"/>
                <w:highlight w:val="none"/>
              </w:rPr>
            </w:pPr>
          </w:p>
        </w:tc>
        <w:tc>
          <w:tcPr>
            <w:tcW w:w="908" w:type="dxa"/>
            <w:noWrap/>
            <w:vAlign w:val="center"/>
          </w:tcPr>
          <w:p>
            <w:pPr>
              <w:tabs>
                <w:tab w:val="left" w:pos="6300"/>
              </w:tabs>
              <w:snapToGrid w:val="0"/>
              <w:spacing w:line="480" w:lineRule="exact"/>
              <w:jc w:val="center"/>
              <w:outlineLvl w:val="9"/>
              <w:rPr>
                <w:rFonts w:ascii="宋体" w:hAnsi="宋体"/>
                <w:color w:val="auto"/>
                <w:sz w:val="20"/>
                <w:highlight w:val="none"/>
              </w:rPr>
            </w:pPr>
          </w:p>
        </w:tc>
      </w:tr>
    </w:tbl>
    <w:p>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pPr>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（竞选人公章）                                 （签字或盖章）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（二）商务评审需提供的材料（格式自定）</w:t>
      </w:r>
    </w:p>
    <w:p>
      <w:pPr>
        <w:tabs>
          <w:tab w:val="left" w:pos="6300"/>
        </w:tabs>
        <w:snapToGrid w:val="0"/>
        <w:spacing w:line="480" w:lineRule="exact"/>
        <w:ind w:firstLine="420" w:firstLineChars="200"/>
        <w:rPr>
          <w:rFonts w:ascii="宋体" w:hAnsi="宋体"/>
          <w:color w:val="auto"/>
          <w:sz w:val="21"/>
          <w:szCs w:val="21"/>
          <w:highlight w:val="none"/>
        </w:rPr>
      </w:pPr>
    </w:p>
    <w:p>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根据“第四篇”之“二、评审标准”中的“商务部分”评分内容拟定材料。</w:t>
      </w:r>
    </w:p>
    <w:p>
      <w:pPr>
        <w:spacing w:line="480" w:lineRule="exact"/>
        <w:ind w:firstLine="480" w:firstLineChars="200"/>
        <w:rPr>
          <w:rFonts w:ascii="宋体" w:hAnsi="宋体"/>
          <w:color w:val="auto"/>
          <w:sz w:val="24"/>
          <w:szCs w:val="24"/>
          <w:highlight w:val="none"/>
        </w:rPr>
        <w:sectPr>
          <w:pgSz w:w="11907" w:h="16840"/>
          <w:pgMar w:top="850" w:right="850" w:bottom="850" w:left="850" w:header="851" w:footer="992" w:gutter="0"/>
          <w:cols w:space="720" w:num="1"/>
          <w:docGrid w:linePitch="380" w:charSpace="-5735"/>
        </w:sectPr>
      </w:pPr>
    </w:p>
    <w:p>
      <w:pPr>
        <w:numPr>
          <w:ilvl w:val="0"/>
          <w:numId w:val="9"/>
        </w:num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不可抗力承诺函（格式）</w:t>
      </w:r>
    </w:p>
    <w:p>
      <w:pPr>
        <w:pStyle w:val="2"/>
        <w:rPr>
          <w:color w:val="auto"/>
          <w:highlight w:val="none"/>
        </w:rPr>
      </w:pPr>
    </w:p>
    <w:p>
      <w:pPr>
        <w:rPr>
          <w:color w:val="auto"/>
          <w:highlight w:val="none"/>
        </w:rPr>
      </w:pPr>
    </w:p>
    <w:p>
      <w:pPr>
        <w:pStyle w:val="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（比选人名称）</w:t>
      </w:r>
    </w:p>
    <w:p>
      <w:pPr>
        <w:rPr>
          <w:color w:val="auto"/>
          <w:highlight w:val="none"/>
          <w:u w:val="single"/>
        </w:rPr>
      </w:pPr>
    </w:p>
    <w:p>
      <w:pPr>
        <w:pStyle w:val="2"/>
        <w:rPr>
          <w:color w:val="auto"/>
          <w:highlight w:val="none"/>
          <w:u w:val="single"/>
        </w:rPr>
      </w:pPr>
    </w:p>
    <w:p>
      <w:pPr>
        <w:ind w:firstLine="400" w:firstLineChars="200"/>
        <w:rPr>
          <w:color w:val="auto"/>
          <w:highlight w:val="none"/>
        </w:rPr>
      </w:pPr>
      <w:r>
        <w:rPr>
          <w:rFonts w:hint="eastAsia"/>
          <w:color w:val="auto"/>
          <w:highlight w:val="none"/>
        </w:rPr>
        <w:t>我公司（单位）就本项目承诺，若因相关政策调整等不可抗力原因致使本项目取消的，或因客观原因致使合同无法订立或订立后因无法履行而解除的，比选人不承担任何责任。</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wordWrap w:val="0"/>
        <w:jc w:val="right"/>
        <w:rPr>
          <w:rFonts w:ascii="Times New Roman" w:eastAsia="宋体"/>
          <w:color w:val="auto"/>
          <w:sz w:val="28"/>
          <w:highlight w:val="none"/>
          <w:u w:val="single"/>
        </w:rPr>
      </w:pPr>
      <w:r>
        <w:rPr>
          <w:rFonts w:hint="eastAsia" w:ascii="Times New Roman" w:eastAsia="宋体"/>
          <w:color w:val="auto"/>
          <w:sz w:val="28"/>
          <w:highlight w:val="none"/>
        </w:rPr>
        <w:t>竞选人名称（公章）</w:t>
      </w:r>
      <w:r>
        <w:rPr>
          <w:rFonts w:hint="eastAsia" w:ascii="Times New Roman" w:eastAsia="宋体"/>
          <w:color w:val="auto"/>
          <w:sz w:val="28"/>
          <w:highlight w:val="none"/>
          <w:u w:val="single"/>
        </w:rPr>
        <w:t xml:space="preserve">              </w:t>
      </w:r>
    </w:p>
    <w:p>
      <w:pPr>
        <w:jc w:val="right"/>
        <w:rPr>
          <w:color w:val="auto"/>
          <w:highlight w:val="none"/>
        </w:rPr>
      </w:pPr>
    </w:p>
    <w:p>
      <w:pPr>
        <w:pStyle w:val="2"/>
        <w:jc w:val="right"/>
        <w:rPr>
          <w:rFonts w:ascii="Times New Roman" w:eastAsia="宋体"/>
          <w:color w:val="auto"/>
          <w:sz w:val="28"/>
          <w:highlight w:val="none"/>
        </w:rPr>
        <w:sectPr>
          <w:pgSz w:w="11907" w:h="16840"/>
          <w:pgMar w:top="850" w:right="850" w:bottom="850" w:left="850" w:header="851" w:footer="992" w:gutter="0"/>
          <w:cols w:space="720" w:num="1"/>
          <w:docGrid w:linePitch="380" w:charSpace="-5735"/>
        </w:sectPr>
      </w:pPr>
      <w:r>
        <w:rPr>
          <w:rFonts w:hint="eastAsia" w:ascii="Times New Roman" w:eastAsia="宋体"/>
          <w:color w:val="auto"/>
          <w:sz w:val="28"/>
          <w:highlight w:val="none"/>
        </w:rPr>
        <w:t>年  月   日</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（四）其它优惠承诺（如有，格式自定。）</w:t>
      </w:r>
    </w:p>
    <w:p>
      <w:pPr>
        <w:spacing w:line="480" w:lineRule="exact"/>
        <w:ind w:firstLine="480" w:firstLineChars="200"/>
        <w:rPr>
          <w:rFonts w:ascii="宋体" w:hAnsi="宋体"/>
          <w:color w:val="auto"/>
          <w:sz w:val="24"/>
          <w:szCs w:val="24"/>
          <w:highlight w:val="none"/>
        </w:rPr>
      </w:pPr>
    </w:p>
    <w:p>
      <w:pPr>
        <w:pStyle w:val="6"/>
        <w:spacing w:before="0" w:after="0" w:line="480" w:lineRule="exact"/>
        <w:rPr>
          <w:rFonts w:ascii="宋体" w:hAnsi="宋体"/>
          <w:b w:val="0"/>
          <w:color w:val="auto"/>
          <w:sz w:val="24"/>
          <w:szCs w:val="24"/>
          <w:highlight w:val="none"/>
        </w:rPr>
      </w:pPr>
      <w:r>
        <w:rPr>
          <w:rFonts w:ascii="宋体" w:hAnsi="宋体"/>
          <w:b w:val="0"/>
          <w:color w:val="auto"/>
          <w:sz w:val="24"/>
          <w:szCs w:val="24"/>
          <w:highlight w:val="none"/>
        </w:rPr>
        <w:br w:type="page"/>
      </w:r>
      <w:bookmarkEnd w:id="167"/>
      <w:bookmarkStart w:id="181" w:name="_Toc433792172"/>
      <w:bookmarkStart w:id="182" w:name="_Toc2625"/>
      <w:bookmarkStart w:id="183" w:name="_Toc313008359"/>
      <w:bookmarkStart w:id="184" w:name="_Toc24621"/>
      <w:bookmarkStart w:id="185" w:name="_Toc313888363"/>
      <w:bookmarkStart w:id="186" w:name="_Toc342913422"/>
      <w:r>
        <w:rPr>
          <w:rFonts w:hint="eastAsia" w:ascii="宋体" w:hAnsi="宋体"/>
          <w:b w:val="0"/>
          <w:color w:val="auto"/>
          <w:sz w:val="24"/>
          <w:szCs w:val="24"/>
          <w:highlight w:val="none"/>
        </w:rPr>
        <w:t>五、资格条件及其他</w:t>
      </w:r>
      <w:bookmarkEnd w:id="181"/>
      <w:bookmarkEnd w:id="182"/>
      <w:bookmarkEnd w:id="183"/>
      <w:bookmarkEnd w:id="184"/>
      <w:bookmarkEnd w:id="185"/>
      <w:bookmarkEnd w:id="186"/>
    </w:p>
    <w:p>
      <w:pPr>
        <w:rPr>
          <w:color w:val="auto"/>
          <w:sz w:val="24"/>
          <w:szCs w:val="24"/>
          <w:highlight w:val="none"/>
        </w:rPr>
      </w:pPr>
    </w:p>
    <w:p>
      <w:pPr>
        <w:numPr>
          <w:ilvl w:val="0"/>
          <w:numId w:val="10"/>
        </w:num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资格条件</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1．具有独立承担民事责任的能力；</w:t>
      </w:r>
    </w:p>
    <w:p>
      <w:pPr>
        <w:tabs>
          <w:tab w:val="left" w:pos="6300"/>
        </w:tabs>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提供营业执照复印件。</w:t>
      </w:r>
    </w:p>
    <w:p>
      <w:pPr>
        <w:tabs>
          <w:tab w:val="left" w:pos="6300"/>
        </w:tabs>
        <w:snapToGrid w:val="0"/>
        <w:spacing w:line="560" w:lineRule="exact"/>
        <w:ind w:firstLine="630" w:firstLineChars="300"/>
        <w:rPr>
          <w:rFonts w:ascii="宋体" w:hAnsi="宋体"/>
          <w:color w:val="auto"/>
          <w:sz w:val="24"/>
          <w:szCs w:val="24"/>
          <w:highlight w:val="none"/>
        </w:rPr>
      </w:pPr>
      <w:r>
        <w:rPr>
          <w:rFonts w:ascii="宋体" w:hAnsi="宋体"/>
          <w:color w:val="auto"/>
          <w:sz w:val="21"/>
          <w:szCs w:val="21"/>
          <w:highlight w:val="none"/>
        </w:rPr>
        <w:br w:type="page"/>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法定代表人身份证明书（格式）</w:t>
      </w:r>
    </w:p>
    <w:p>
      <w:pPr>
        <w:tabs>
          <w:tab w:val="left" w:pos="6300"/>
        </w:tabs>
        <w:snapToGrid w:val="0"/>
        <w:spacing w:line="480" w:lineRule="exact"/>
        <w:jc w:val="center"/>
        <w:outlineLvl w:val="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u w:val="single"/>
        </w:rPr>
      </w:pPr>
      <w:r>
        <w:rPr>
          <w:rFonts w:hint="eastAsia" w:ascii="宋体" w:hAnsi="宋体"/>
          <w:color w:val="auto"/>
          <w:sz w:val="24"/>
          <w:szCs w:val="24"/>
          <w:highlight w:val="none"/>
        </w:rPr>
        <w:t>项目名称：________________</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致：________________（比选代理机构名称）：</w:t>
      </w:r>
    </w:p>
    <w:p>
      <w:pPr>
        <w:tabs>
          <w:tab w:val="left" w:pos="6300"/>
        </w:tabs>
        <w:snapToGrid w:val="0"/>
        <w:spacing w:line="480" w:lineRule="exact"/>
        <w:ind w:firstLine="566" w:firstLineChars="236"/>
        <w:rPr>
          <w:rFonts w:ascii="宋体" w:hAnsi="宋体"/>
          <w:color w:val="auto"/>
          <w:sz w:val="24"/>
          <w:szCs w:val="24"/>
          <w:highlight w:val="none"/>
        </w:rPr>
      </w:pPr>
      <w:r>
        <w:rPr>
          <w:rFonts w:hint="eastAsia" w:ascii="宋体" w:hAnsi="宋体"/>
          <w:color w:val="auto"/>
          <w:sz w:val="24"/>
          <w:szCs w:val="24"/>
          <w:highlight w:val="none"/>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（附：法定代表人身份证正反面复印件）</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1"/>
          <w:szCs w:val="21"/>
          <w:highlight w:val="none"/>
        </w:rPr>
      </w:pPr>
    </w:p>
    <w:p>
      <w:pPr>
        <w:tabs>
          <w:tab w:val="left" w:pos="6300"/>
        </w:tabs>
        <w:snapToGrid w:val="0"/>
        <w:spacing w:line="480" w:lineRule="exact"/>
        <w:jc w:val="center"/>
        <w:rPr>
          <w:rFonts w:ascii="宋体" w:hAnsi="宋体"/>
          <w:color w:val="auto"/>
          <w:sz w:val="24"/>
          <w:szCs w:val="24"/>
          <w:highlight w:val="none"/>
        </w:rPr>
      </w:pPr>
      <w:r>
        <w:rPr>
          <w:rFonts w:ascii="宋体" w:hAnsi="宋体"/>
          <w:color w:val="auto"/>
          <w:sz w:val="21"/>
          <w:szCs w:val="21"/>
          <w:highlight w:val="none"/>
        </w:rPr>
        <w:br w:type="page"/>
      </w:r>
      <w:r>
        <w:rPr>
          <w:rFonts w:ascii="宋体" w:hAnsi="宋体"/>
          <w:color w:val="auto"/>
          <w:sz w:val="24"/>
          <w:szCs w:val="24"/>
          <w:highlight w:val="none"/>
        </w:rPr>
        <w:t>3.</w:t>
      </w:r>
      <w:r>
        <w:rPr>
          <w:rFonts w:hint="eastAsia" w:ascii="宋体" w:hAnsi="宋体"/>
          <w:color w:val="auto"/>
          <w:sz w:val="24"/>
          <w:szCs w:val="24"/>
          <w:highlight w:val="none"/>
        </w:rPr>
        <w:t>法定代表人授权委托书（格式）</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项目名称：_____________________</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日    期：_______________</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致：_____________________（比选代理机构名称）</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被授权人：                                  竞选人法定代表人：</w:t>
      </w:r>
    </w:p>
    <w:p>
      <w:pPr>
        <w:tabs>
          <w:tab w:val="left" w:pos="6300"/>
        </w:tabs>
        <w:snapToGrid w:val="0"/>
        <w:spacing w:line="48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（附：被授权人身份证复印件）</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snapToGrid w:val="0"/>
        <w:spacing w:line="480" w:lineRule="exact"/>
        <w:ind w:firstLine="6480" w:firstLineChars="2700"/>
        <w:rPr>
          <w:rFonts w:ascii="宋体" w:hAnsi="宋体"/>
          <w:color w:val="auto"/>
          <w:sz w:val="24"/>
          <w:szCs w:val="24"/>
          <w:highlight w:val="none"/>
        </w:rPr>
      </w:pPr>
      <w:r>
        <w:rPr>
          <w:rFonts w:hint="eastAsia" w:ascii="宋体" w:hAnsi="宋体"/>
          <w:color w:val="auto"/>
          <w:sz w:val="24"/>
          <w:szCs w:val="24"/>
          <w:highlight w:val="none"/>
        </w:rPr>
        <w:t>年   月   日</w:t>
      </w:r>
    </w:p>
    <w:p>
      <w:pPr>
        <w:tabs>
          <w:tab w:val="left" w:pos="6300"/>
        </w:tabs>
        <w:snapToGrid w:val="0"/>
        <w:spacing w:line="480" w:lineRule="exact"/>
        <w:ind w:firstLine="600" w:firstLineChars="250"/>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注：如竞选单位法定代表人亲自参加，则无须提供该授权委托书。</w:t>
      </w:r>
      <w:r>
        <w:rPr>
          <w:rFonts w:hint="eastAsia" w:ascii="宋体" w:hAnsi="宋体"/>
          <w:color w:val="auto"/>
          <w:sz w:val="24"/>
          <w:szCs w:val="24"/>
          <w:highlight w:val="none"/>
        </w:rPr>
        <w:br w:type="page"/>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4.基本资格条件承诺函</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center"/>
        <w:rPr>
          <w:rFonts w:ascii="宋体" w:hAnsi="宋体"/>
          <w:color w:val="auto"/>
          <w:sz w:val="32"/>
          <w:szCs w:val="32"/>
          <w:highlight w:val="none"/>
        </w:rPr>
      </w:pPr>
      <w:r>
        <w:rPr>
          <w:rFonts w:hint="eastAsia" w:ascii="宋体" w:hAnsi="宋体"/>
          <w:color w:val="auto"/>
          <w:sz w:val="32"/>
          <w:szCs w:val="32"/>
          <w:highlight w:val="none"/>
        </w:rPr>
        <w:t>基本资格条件承诺函</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（比选人名称）：</w:t>
      </w:r>
    </w:p>
    <w:p>
      <w:pPr>
        <w:widowControl/>
        <w:jc w:val="left"/>
        <w:rPr>
          <w:rFonts w:ascii="宋体" w:hAnsi="宋体"/>
          <w:color w:val="auto"/>
          <w:sz w:val="24"/>
          <w:szCs w:val="24"/>
          <w:highlight w:val="none"/>
          <w:u w:val="single"/>
        </w:rPr>
      </w:pPr>
    </w:p>
    <w:p>
      <w:pPr>
        <w:widowControl/>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（竞选人名称）郑重承诺：</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w:t>
      </w:r>
      <w:r>
        <w:rPr>
          <w:rFonts w:hint="eastAsia" w:ascii="宋体" w:hAnsi="宋体"/>
          <w:color w:val="auto"/>
          <w:sz w:val="24"/>
          <w:szCs w:val="24"/>
          <w:highlight w:val="none"/>
          <w:lang w:val="zh-CN"/>
        </w:rPr>
        <w:t>有依法缴纳税收和社会保障金的良好记录</w:t>
      </w:r>
      <w:r>
        <w:rPr>
          <w:rFonts w:hint="eastAsia" w:ascii="宋体" w:hAnsi="宋体"/>
          <w:color w:val="auto"/>
          <w:sz w:val="24"/>
          <w:szCs w:val="24"/>
          <w:highlight w:val="none"/>
        </w:rPr>
        <w:t>，参加本项目采购活动前三年内无重大违法活动记录。</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3．我方在采购项目评审（评标）环节结束后，随时接受比选人、比选代理机构的检查验证，配合提供相关证明材料，证明符合本项目规定的基本资格条件。</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我方对以上承诺负全部法律责任。</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特此承诺。</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righ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widowControl/>
        <w:jc w:val="right"/>
        <w:rPr>
          <w:rFonts w:ascii="宋体" w:hAnsi="宋体"/>
          <w:color w:val="auto"/>
          <w:sz w:val="24"/>
          <w:szCs w:val="24"/>
          <w:highlight w:val="none"/>
        </w:rPr>
      </w:pPr>
    </w:p>
    <w:p>
      <w:pPr>
        <w:widowControl/>
        <w:jc w:val="right"/>
        <w:rPr>
          <w:rFonts w:ascii="宋体" w:hAnsi="宋体"/>
          <w:color w:val="auto"/>
          <w:sz w:val="24"/>
          <w:szCs w:val="24"/>
          <w:highlight w:val="none"/>
        </w:rPr>
      </w:pPr>
      <w:r>
        <w:rPr>
          <w:rFonts w:hint="eastAsia" w:ascii="宋体" w:hAnsi="宋体"/>
          <w:color w:val="auto"/>
          <w:sz w:val="24"/>
          <w:szCs w:val="24"/>
          <w:highlight w:val="none"/>
        </w:rPr>
        <w:t>年   月   日</w:t>
      </w:r>
    </w:p>
    <w:p>
      <w:pPr>
        <w:widowControl/>
        <w:jc w:val="left"/>
        <w:rPr>
          <w:rFonts w:ascii="宋体" w:hAnsi="宋体"/>
          <w:color w:val="auto"/>
          <w:sz w:val="24"/>
          <w:szCs w:val="24"/>
          <w:highlight w:val="none"/>
        </w:rPr>
        <w:sectPr>
          <w:pgSz w:w="11907" w:h="16840"/>
          <w:pgMar w:top="850" w:right="850" w:bottom="850" w:left="850" w:header="851" w:footer="992" w:gutter="0"/>
          <w:cols w:space="720" w:num="1"/>
          <w:docGrid w:linePitch="380" w:charSpace="-5735"/>
        </w:sect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（二）其他应提供的资料</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1.保证金交纳凭证复印件</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2.其他与项目有关的资料（如有，自附。） </w:t>
      </w:r>
    </w:p>
    <w:p>
      <w:pPr>
        <w:spacing w:line="480" w:lineRule="exact"/>
        <w:ind w:firstLine="480" w:firstLineChars="200"/>
        <w:rPr>
          <w:rFonts w:ascii="宋体" w:hAnsi="宋体"/>
          <w:color w:val="auto"/>
          <w:sz w:val="24"/>
          <w:szCs w:val="24"/>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r>
        <w:rPr>
          <w:rFonts w:hint="eastAsia" w:ascii="宋体" w:hAnsi="宋体"/>
          <w:color w:val="auto"/>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720" w:firstLineChars="400"/>
      <w:jc w:val="both"/>
      <w:rPr>
        <w:szCs w:val="21"/>
      </w:rPr>
    </w:pPr>
    <w:r>
      <w:rPr>
        <w:rFonts w:hint="eastAsia"/>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rFonts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055E05D8"/>
    <w:multiLevelType w:val="multilevel"/>
    <w:tmpl w:val="055E05D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abstractNum w:abstractNumId="5">
    <w:nsid w:val="2EAC3380"/>
    <w:multiLevelType w:val="multilevel"/>
    <w:tmpl w:val="2EAC338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0FB5628"/>
    <w:multiLevelType w:val="multilevel"/>
    <w:tmpl w:val="30FB562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7B6394E"/>
    <w:multiLevelType w:val="singleLevel"/>
    <w:tmpl w:val="37B6394E"/>
    <w:lvl w:ilvl="0" w:tentative="0">
      <w:start w:val="1"/>
      <w:numFmt w:val="chineseCounting"/>
      <w:suff w:val="nothing"/>
      <w:lvlText w:val="（%1）"/>
      <w:lvlJc w:val="left"/>
      <w:rPr>
        <w:rFonts w:hint="eastAsia"/>
      </w:rPr>
    </w:lvl>
  </w:abstractNum>
  <w:abstractNum w:abstractNumId="8">
    <w:nsid w:val="45C72A91"/>
    <w:multiLevelType w:val="multilevel"/>
    <w:tmpl w:val="45C72A9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F774728"/>
    <w:multiLevelType w:val="multilevel"/>
    <w:tmpl w:val="4F77472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6"/>
  </w:num>
  <w:num w:numId="3">
    <w:abstractNumId w:val="5"/>
  </w:num>
  <w:num w:numId="4">
    <w:abstractNumId w:val="3"/>
  </w:num>
  <w:num w:numId="5">
    <w:abstractNumId w:val="8"/>
  </w:num>
  <w:num w:numId="6">
    <w:abstractNumId w:val="7"/>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Y4MGU3YWYyMjFlODUyMTUzZDVhNDI0M2VjNDk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90398"/>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20DA"/>
    <w:rsid w:val="003342C4"/>
    <w:rsid w:val="00335FC7"/>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62E6"/>
    <w:rsid w:val="00986D0A"/>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7D61"/>
    <w:rsid w:val="00B109B4"/>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310F6"/>
    <w:rsid w:val="00B31E79"/>
    <w:rsid w:val="00B3240D"/>
    <w:rsid w:val="00B33CC7"/>
    <w:rsid w:val="00B35068"/>
    <w:rsid w:val="00B3571F"/>
    <w:rsid w:val="00B37691"/>
    <w:rsid w:val="00B406C3"/>
    <w:rsid w:val="00B4157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5BAA"/>
    <w:rsid w:val="00D05FD7"/>
    <w:rsid w:val="00D06755"/>
    <w:rsid w:val="00D06825"/>
    <w:rsid w:val="00D10469"/>
    <w:rsid w:val="00D132C7"/>
    <w:rsid w:val="00D13329"/>
    <w:rsid w:val="00D13B7A"/>
    <w:rsid w:val="00D1594B"/>
    <w:rsid w:val="00D15AB1"/>
    <w:rsid w:val="00D1709E"/>
    <w:rsid w:val="00D21257"/>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831A6A"/>
    <w:rsid w:val="0B8C7102"/>
    <w:rsid w:val="0B903FB2"/>
    <w:rsid w:val="0BA650B0"/>
    <w:rsid w:val="0C257EEE"/>
    <w:rsid w:val="0C4E5663"/>
    <w:rsid w:val="0C57251C"/>
    <w:rsid w:val="0C674FB5"/>
    <w:rsid w:val="0C744411"/>
    <w:rsid w:val="0C753BF1"/>
    <w:rsid w:val="0C8D48A9"/>
    <w:rsid w:val="0C9E7DEC"/>
    <w:rsid w:val="0CB15A73"/>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F248F6"/>
    <w:rsid w:val="162B6690"/>
    <w:rsid w:val="165846F4"/>
    <w:rsid w:val="167746BC"/>
    <w:rsid w:val="1690435D"/>
    <w:rsid w:val="16985257"/>
    <w:rsid w:val="169D194D"/>
    <w:rsid w:val="16AA3056"/>
    <w:rsid w:val="16D466EC"/>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D423FE"/>
    <w:rsid w:val="36F42F1D"/>
    <w:rsid w:val="37003393"/>
    <w:rsid w:val="371158E2"/>
    <w:rsid w:val="371E41AE"/>
    <w:rsid w:val="37335D47"/>
    <w:rsid w:val="37410F6B"/>
    <w:rsid w:val="37692CB0"/>
    <w:rsid w:val="37867ABD"/>
    <w:rsid w:val="37D24456"/>
    <w:rsid w:val="385821B7"/>
    <w:rsid w:val="385D4936"/>
    <w:rsid w:val="38655DA3"/>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F3D686C"/>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687A1C"/>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C07A1B"/>
    <w:rsid w:val="77C115B1"/>
    <w:rsid w:val="77E52A0D"/>
    <w:rsid w:val="77E969F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24"/>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255"/>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239"/>
    <w:qFormat/>
    <w:uiPriority w:val="0"/>
    <w:pPr>
      <w:adjustRightInd w:val="0"/>
      <w:spacing w:line="360" w:lineRule="atLeast"/>
      <w:jc w:val="left"/>
      <w:textAlignment w:val="baseline"/>
    </w:pPr>
    <w:rPr>
      <w:kern w:val="0"/>
      <w:sz w:val="24"/>
    </w:rPr>
  </w:style>
  <w:style w:type="paragraph" w:styleId="22">
    <w:name w:val="index 6"/>
    <w:basedOn w:val="1"/>
    <w:next w:val="1"/>
    <w:qFormat/>
    <w:uiPriority w:val="0"/>
    <w:pPr>
      <w:ind w:left="2100"/>
    </w:p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218"/>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40"/>
    <w:qFormat/>
    <w:uiPriority w:val="0"/>
  </w:style>
  <w:style w:type="paragraph" w:styleId="36">
    <w:name w:val="Body Text Indent 2"/>
    <w:basedOn w:val="1"/>
    <w:next w:val="1"/>
    <w:link w:val="22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31"/>
    <w:qFormat/>
    <w:uiPriority w:val="0"/>
    <w:pPr>
      <w:tabs>
        <w:tab w:val="center" w:pos="4153"/>
        <w:tab w:val="right" w:pos="8306"/>
      </w:tabs>
      <w:snapToGrid w:val="0"/>
      <w:jc w:val="left"/>
    </w:pPr>
    <w:rPr>
      <w:sz w:val="18"/>
    </w:rPr>
  </w:style>
  <w:style w:type="paragraph" w:styleId="39">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1"/>
    <w:next w:val="21"/>
    <w:link w:val="225"/>
    <w:qFormat/>
    <w:uiPriority w:val="0"/>
    <w:pPr>
      <w:adjustRightInd/>
      <w:spacing w:line="240" w:lineRule="auto"/>
      <w:textAlignment w:val="auto"/>
    </w:pPr>
  </w:style>
  <w:style w:type="paragraph" w:styleId="59">
    <w:name w:val="Body Text First Indent"/>
    <w:basedOn w:val="2"/>
    <w:qFormat/>
    <w:uiPriority w:val="0"/>
    <w:pPr>
      <w:spacing w:line="360" w:lineRule="auto"/>
      <w:ind w:firstLine="420"/>
    </w:pPr>
    <w:rPr>
      <w:rFonts w:ascii="宋体" w:hAnsi="宋体"/>
      <w:sz w:val="24"/>
    </w:rPr>
  </w:style>
  <w:style w:type="paragraph" w:styleId="60">
    <w:name w:val="Body Text First Indent 2"/>
    <w:basedOn w:val="26"/>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kern w:val="0"/>
      <w:sz w:val="20"/>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kern w:val="0"/>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sz w:val="20"/>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kern w:val="0"/>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7"/>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3">
    <w:name w:val="af"/>
    <w:basedOn w:val="1"/>
    <w:qFormat/>
    <w:uiPriority w:val="0"/>
    <w:pPr>
      <w:widowControl/>
      <w:spacing w:line="300" w:lineRule="atLeast"/>
      <w:jc w:val="left"/>
    </w:pPr>
    <w:rPr>
      <w:rFonts w:ascii="宋体" w:hAnsi="宋体"/>
      <w:kern w:val="0"/>
      <w:sz w:val="18"/>
    </w:rPr>
  </w:style>
  <w:style w:type="paragraph" w:customStyle="1" w:styleId="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9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kern w:val="0"/>
      <w:szCs w:val="24"/>
    </w:rPr>
  </w:style>
  <w:style w:type="paragraph" w:customStyle="1" w:styleId="103">
    <w:name w:val="Table Contents"/>
    <w:basedOn w:val="2"/>
    <w:qFormat/>
    <w:uiPriority w:val="0"/>
    <w:pPr>
      <w:suppressAutoHyphens/>
      <w:jc w:val="left"/>
    </w:pPr>
    <w:rPr>
      <w:rFonts w:ascii="Times New Roman" w:eastAsia="Times New Roman"/>
      <w:kern w:val="0"/>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qFormat/>
    <w:uiPriority w:val="0"/>
    <w:pPr>
      <w:ind w:firstLine="420" w:firstLineChars="200"/>
    </w:pPr>
  </w:style>
  <w:style w:type="paragraph" w:customStyle="1" w:styleId="108">
    <w:name w:val="样式1"/>
    <w:basedOn w:val="7"/>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9"/>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kern w:val="0"/>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kern w:val="0"/>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4">
    <w:name w:val="表格内文字"/>
    <w:basedOn w:val="33"/>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kern w:val="0"/>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9"/>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6"/>
    <w:qFormat/>
    <w:uiPriority w:val="0"/>
    <w:pPr>
      <w:tabs>
        <w:tab w:val="left" w:pos="709"/>
        <w:tab w:val="left" w:pos="1620"/>
      </w:tabs>
      <w:ind w:left="1620" w:hanging="360"/>
    </w:pPr>
  </w:style>
  <w:style w:type="paragraph" w:customStyle="1" w:styleId="169">
    <w:name w:val="内容标题"/>
    <w:basedOn w:val="19"/>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7"/>
    <w:qFormat/>
    <w:uiPriority w:val="0"/>
    <w:pPr>
      <w:adjustRightInd w:val="0"/>
      <w:snapToGrid w:val="0"/>
    </w:pPr>
    <w:rPr>
      <w:rFonts w:ascii="Times New Roman" w:hAnsi="Times New Roman" w:eastAsia="宋体"/>
    </w:rPr>
  </w:style>
  <w:style w:type="paragraph" w:customStyle="1" w:styleId="17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7"/>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0">
    <w:name w:val="标题3——2"/>
    <w:basedOn w:val="6"/>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3"/>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8">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5"/>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kern w:val="0"/>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6"/>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kern w:val="0"/>
      <w:sz w:val="21"/>
    </w:rPr>
  </w:style>
  <w:style w:type="paragraph" w:customStyle="1" w:styleId="204">
    <w:name w:val="摘要"/>
    <w:basedOn w:val="1"/>
    <w:next w:val="5"/>
    <w:qFormat/>
    <w:uiPriority w:val="0"/>
    <w:pPr>
      <w:spacing w:line="360" w:lineRule="auto"/>
    </w:pPr>
    <w:rPr>
      <w:rFonts w:eastAsia="黑体"/>
      <w:sz w:val="20"/>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kern w:val="0"/>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kern w:val="0"/>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6"/>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6"/>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5"/>
    <w:qFormat/>
    <w:uiPriority w:val="0"/>
    <w:rPr>
      <w:rFonts w:ascii="Arial" w:hAnsi="Arial" w:eastAsia="黑体" w:cs="Times New Roman"/>
      <w:b/>
      <w:kern w:val="2"/>
      <w:sz w:val="32"/>
    </w:rPr>
  </w:style>
  <w:style w:type="character" w:customStyle="1" w:styleId="227">
    <w:name w:val="正文文本缩进 2 字符"/>
    <w:link w:val="36"/>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8"/>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1"/>
    <w:qFormat/>
    <w:uiPriority w:val="0"/>
    <w:rPr>
      <w:rFonts w:ascii="Times New Roman" w:hAnsi="Times New Roman" w:eastAsia="宋体" w:cs="Times New Roman"/>
      <w:sz w:val="24"/>
    </w:rPr>
  </w:style>
  <w:style w:type="character" w:customStyle="1" w:styleId="240">
    <w:name w:val="日期 字符"/>
    <w:link w:val="35"/>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9"/>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7"/>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13474</Words>
  <Characters>14197</Characters>
  <Lines>128</Lines>
  <Paragraphs>36</Paragraphs>
  <TotalTime>0</TotalTime>
  <ScaleCrop>false</ScaleCrop>
  <LinksUpToDate>false</LinksUpToDate>
  <CharactersWithSpaces>15206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2020-10-12T02:21:00Z</dcterms:created>
  <dc:creator>LENOVO</dc:creator>
  <cp:lastModifiedBy>李西</cp:lastModifiedBy>
  <cp:lastPrinted>2020-10-30T02:52:00Z</cp:lastPrinted>
  <dcterms:modified xsi:type="dcterms:W3CDTF">2023-05-08T08:08:25Z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KSOSaveFontToCloudKey">
    <vt:lpwstr>1143587521_cloud</vt:lpwstr>
  </property>
  <property fmtid="{D5CDD505-2E9C-101B-9397-08002B2CF9AE}" pid="4" name="ICV">
    <vt:lpwstr>226527ACBA9D41EAB89EC7D937705411</vt:lpwstr>
  </property>
</Properties>
</file>