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_GBK" w:eastAsia="方正仿宋_GBK"/>
          <w:color w:val="000000"/>
          <w:sz w:val="32"/>
          <w:highlight w:val="none"/>
        </w:rPr>
      </w:pPr>
    </w:p>
    <w:p>
      <w:pPr>
        <w:spacing w:line="600" w:lineRule="exact"/>
        <w:rPr>
          <w:rFonts w:ascii="方正仿宋_GBK" w:eastAsia="方正仿宋_GBK"/>
          <w:color w:val="000000"/>
          <w:sz w:val="32"/>
          <w:highlight w:val="none"/>
        </w:rPr>
      </w:pPr>
    </w:p>
    <w:p>
      <w:pPr>
        <w:rPr>
          <w:rFonts w:ascii="宋体" w:hAnsi="宋体"/>
          <w:color w:val="000000"/>
          <w:highlight w:val="none"/>
        </w:rPr>
      </w:pPr>
    </w:p>
    <w:p>
      <w:pPr>
        <w:rPr>
          <w:rFonts w:ascii="宋体" w:hAnsi="宋体"/>
          <w:color w:val="000000"/>
          <w:highlight w:val="none"/>
        </w:rPr>
      </w:pPr>
    </w:p>
    <w:p>
      <w:pPr>
        <w:rPr>
          <w:rFonts w:ascii="宋体" w:hAnsi="宋体"/>
          <w:color w:val="000000"/>
          <w:highlight w:val="none"/>
        </w:rPr>
      </w:pPr>
    </w:p>
    <w:p>
      <w:pPr>
        <w:spacing w:line="360" w:lineRule="auto"/>
        <w:jc w:val="center"/>
        <w:rPr>
          <w:rFonts w:ascii="宋体" w:hAnsi="宋体"/>
          <w:b/>
          <w:color w:val="000000"/>
          <w:sz w:val="84"/>
          <w:szCs w:val="84"/>
          <w:highlight w:val="none"/>
        </w:rPr>
      </w:pPr>
      <w:r>
        <w:rPr>
          <w:rFonts w:hint="eastAsia" w:ascii="宋体" w:hAnsi="宋体"/>
          <w:b/>
          <w:color w:val="000000"/>
          <w:sz w:val="84"/>
          <w:szCs w:val="84"/>
          <w:highlight w:val="none"/>
        </w:rPr>
        <w:t>竞争性比选文件</w:t>
      </w:r>
    </w:p>
    <w:p>
      <w:pPr>
        <w:spacing w:line="700" w:lineRule="exact"/>
        <w:jc w:val="center"/>
        <w:rPr>
          <w:rFonts w:ascii="黑体" w:eastAsia="黑体"/>
          <w:color w:val="000000"/>
          <w:sz w:val="32"/>
          <w:highlight w:val="none"/>
        </w:rPr>
      </w:pPr>
    </w:p>
    <w:p>
      <w:pPr>
        <w:spacing w:line="700" w:lineRule="exact"/>
        <w:jc w:val="center"/>
        <w:rPr>
          <w:rFonts w:ascii="黑体" w:eastAsia="黑体"/>
          <w:color w:val="000000"/>
          <w:sz w:val="32"/>
          <w:highlight w:val="none"/>
        </w:rPr>
      </w:pPr>
    </w:p>
    <w:p>
      <w:pPr>
        <w:spacing w:line="700" w:lineRule="exact"/>
        <w:jc w:val="center"/>
        <w:rPr>
          <w:rFonts w:ascii="黑体" w:eastAsia="黑体"/>
          <w:color w:val="000000"/>
          <w:sz w:val="32"/>
          <w:highlight w:val="none"/>
        </w:rPr>
      </w:pPr>
    </w:p>
    <w:p>
      <w:pPr>
        <w:spacing w:line="700" w:lineRule="exact"/>
        <w:jc w:val="center"/>
        <w:rPr>
          <w:rFonts w:ascii="黑体" w:eastAsia="黑体"/>
          <w:color w:val="auto"/>
          <w:sz w:val="32"/>
          <w:highlight w:val="none"/>
        </w:rPr>
      </w:pPr>
    </w:p>
    <w:p>
      <w:pPr>
        <w:spacing w:line="480" w:lineRule="exact"/>
        <w:ind w:firstLine="563" w:firstLineChars="176"/>
        <w:outlineLvl w:val="0"/>
        <w:rPr>
          <w:rFonts w:ascii="宋体" w:hAnsi="宋体"/>
          <w:color w:val="auto"/>
          <w:sz w:val="32"/>
          <w:szCs w:val="32"/>
          <w:highlight w:val="none"/>
        </w:rPr>
      </w:pPr>
    </w:p>
    <w:p>
      <w:pPr>
        <w:spacing w:line="480" w:lineRule="exact"/>
        <w:ind w:firstLine="563" w:firstLineChars="176"/>
        <w:outlineLvl w:val="0"/>
        <w:rPr>
          <w:rFonts w:hint="default" w:ascii="宋体" w:hAnsi="宋体" w:eastAsia="宋体"/>
          <w:color w:val="auto"/>
          <w:sz w:val="32"/>
          <w:szCs w:val="32"/>
          <w:highlight w:val="none"/>
          <w:lang w:val="en-US" w:eastAsia="zh-CN"/>
        </w:rPr>
      </w:pPr>
      <w:bookmarkStart w:id="0" w:name="_Toc32564"/>
      <w:bookmarkStart w:id="1" w:name="_Toc8505"/>
      <w:r>
        <w:rPr>
          <w:rFonts w:hint="eastAsia" w:ascii="宋体" w:hAnsi="宋体"/>
          <w:color w:val="auto"/>
          <w:sz w:val="32"/>
          <w:szCs w:val="32"/>
          <w:highlight w:val="none"/>
        </w:rPr>
        <w:t>项 目 编 号:</w:t>
      </w:r>
      <w:bookmarkEnd w:id="0"/>
      <w:bookmarkEnd w:id="1"/>
      <w:r>
        <w:rPr>
          <w:rFonts w:hint="eastAsia" w:ascii="宋体" w:hAnsi="宋体"/>
          <w:color w:val="auto"/>
          <w:sz w:val="32"/>
          <w:szCs w:val="32"/>
          <w:highlight w:val="none"/>
        </w:rPr>
        <w:t>HJ-2022-C158</w:t>
      </w:r>
    </w:p>
    <w:p>
      <w:pPr>
        <w:spacing w:line="480" w:lineRule="exact"/>
        <w:ind w:left="2691" w:leftChars="201" w:hanging="2128" w:hangingChars="665"/>
        <w:outlineLvl w:val="0"/>
        <w:rPr>
          <w:rFonts w:ascii="宋体" w:hAnsi="宋体"/>
          <w:color w:val="auto"/>
          <w:sz w:val="32"/>
          <w:szCs w:val="32"/>
          <w:highlight w:val="none"/>
        </w:rPr>
      </w:pPr>
      <w:bookmarkStart w:id="2" w:name="_Toc19331"/>
      <w:bookmarkStart w:id="3" w:name="_Toc27801"/>
      <w:r>
        <w:rPr>
          <w:rFonts w:hint="eastAsia" w:ascii="宋体" w:hAnsi="宋体"/>
          <w:color w:val="auto"/>
          <w:sz w:val="32"/>
          <w:szCs w:val="32"/>
          <w:highlight w:val="none"/>
        </w:rPr>
        <w:t>项 目 名 称：2021“智博杯”中国（重庆）工业设计大赛</w:t>
      </w:r>
      <w:bookmarkEnd w:id="2"/>
      <w:bookmarkEnd w:id="3"/>
    </w:p>
    <w:p>
      <w:pPr>
        <w:spacing w:line="480" w:lineRule="exact"/>
        <w:ind w:left="2794" w:leftChars="950" w:hanging="134" w:hangingChars="42"/>
        <w:outlineLvl w:val="0"/>
        <w:rPr>
          <w:rFonts w:ascii="宋体" w:hAnsi="宋体"/>
          <w:color w:val="auto"/>
          <w:sz w:val="32"/>
          <w:szCs w:val="32"/>
          <w:highlight w:val="none"/>
        </w:rPr>
      </w:pPr>
      <w:bookmarkStart w:id="4" w:name="_Toc28780"/>
      <w:bookmarkStart w:id="5" w:name="_Toc1325"/>
      <w:r>
        <w:rPr>
          <w:rFonts w:hint="eastAsia" w:ascii="宋体" w:hAnsi="宋体"/>
          <w:color w:val="auto"/>
          <w:sz w:val="32"/>
          <w:szCs w:val="32"/>
          <w:highlight w:val="none"/>
        </w:rPr>
        <w:t>产业化平台建设服务</w:t>
      </w:r>
      <w:bookmarkEnd w:id="4"/>
      <w:bookmarkEnd w:id="5"/>
    </w:p>
    <w:p>
      <w:pPr>
        <w:spacing w:line="480" w:lineRule="exact"/>
        <w:ind w:firstLine="1486" w:firstLineChars="531"/>
        <w:outlineLvl w:val="0"/>
        <w:rPr>
          <w:rFonts w:ascii="宋体" w:hAnsi="宋体"/>
          <w:color w:val="000000"/>
          <w:szCs w:val="28"/>
          <w:highlight w:val="none"/>
        </w:rPr>
      </w:pPr>
    </w:p>
    <w:p>
      <w:pPr>
        <w:spacing w:line="480" w:lineRule="exact"/>
        <w:ind w:firstLine="1486" w:firstLineChars="531"/>
        <w:outlineLvl w:val="0"/>
        <w:rPr>
          <w:rFonts w:ascii="宋体" w:hAnsi="宋体"/>
          <w:color w:val="000000"/>
          <w:szCs w:val="28"/>
          <w:highlight w:val="none"/>
        </w:rPr>
      </w:pPr>
    </w:p>
    <w:p>
      <w:pPr>
        <w:spacing w:line="480" w:lineRule="exact"/>
        <w:ind w:firstLine="1486" w:firstLineChars="531"/>
        <w:outlineLvl w:val="0"/>
        <w:rPr>
          <w:rFonts w:ascii="宋体" w:hAnsi="宋体"/>
          <w:color w:val="000000"/>
          <w:szCs w:val="28"/>
          <w:highlight w:val="none"/>
        </w:rPr>
      </w:pPr>
    </w:p>
    <w:p>
      <w:pPr>
        <w:spacing w:line="480" w:lineRule="exact"/>
        <w:ind w:firstLine="1486" w:firstLineChars="531"/>
        <w:outlineLvl w:val="0"/>
        <w:rPr>
          <w:rFonts w:ascii="宋体" w:hAnsi="宋体"/>
          <w:color w:val="000000"/>
          <w:szCs w:val="28"/>
          <w:highlight w:val="none"/>
        </w:rPr>
      </w:pPr>
    </w:p>
    <w:p>
      <w:pPr>
        <w:spacing w:line="480" w:lineRule="exact"/>
        <w:ind w:firstLine="1486" w:firstLineChars="531"/>
        <w:outlineLvl w:val="0"/>
        <w:rPr>
          <w:rFonts w:ascii="宋体" w:hAnsi="宋体"/>
          <w:color w:val="000000"/>
          <w:szCs w:val="28"/>
          <w:highlight w:val="none"/>
        </w:rPr>
      </w:pPr>
    </w:p>
    <w:p>
      <w:pPr>
        <w:spacing w:line="480" w:lineRule="exact"/>
        <w:ind w:firstLine="1592" w:firstLineChars="531"/>
        <w:outlineLvl w:val="0"/>
        <w:rPr>
          <w:rFonts w:ascii="宋体" w:hAnsi="宋体"/>
          <w:color w:val="000000"/>
          <w:sz w:val="30"/>
          <w:szCs w:val="30"/>
          <w:highlight w:val="none"/>
        </w:rPr>
      </w:pPr>
    </w:p>
    <w:p>
      <w:pPr>
        <w:tabs>
          <w:tab w:val="left" w:pos="3390"/>
        </w:tabs>
        <w:spacing w:line="480" w:lineRule="exact"/>
        <w:ind w:firstLine="1592" w:firstLineChars="531"/>
        <w:jc w:val="left"/>
        <w:outlineLvl w:val="0"/>
        <w:rPr>
          <w:rFonts w:ascii="宋体" w:hAnsi="宋体"/>
          <w:color w:val="000000"/>
          <w:sz w:val="30"/>
          <w:szCs w:val="30"/>
          <w:highlight w:val="none"/>
        </w:rPr>
      </w:pPr>
      <w:bookmarkStart w:id="6" w:name="_Toc20766"/>
      <w:bookmarkStart w:id="7" w:name="_Toc17030"/>
      <w:r>
        <w:rPr>
          <w:rFonts w:hint="eastAsia" w:ascii="宋体" w:hAnsi="宋体"/>
          <w:color w:val="000000"/>
          <w:sz w:val="30"/>
          <w:szCs w:val="30"/>
          <w:highlight w:val="none"/>
        </w:rPr>
        <w:t>比选人：重庆市制造业人才服务中心</w:t>
      </w:r>
      <w:bookmarkEnd w:id="6"/>
      <w:bookmarkEnd w:id="7"/>
    </w:p>
    <w:p>
      <w:pPr>
        <w:spacing w:line="480" w:lineRule="exact"/>
        <w:ind w:firstLine="1592" w:firstLineChars="531"/>
        <w:outlineLvl w:val="0"/>
        <w:rPr>
          <w:rFonts w:ascii="宋体" w:hAnsi="宋体"/>
          <w:color w:val="000000"/>
          <w:sz w:val="30"/>
          <w:szCs w:val="30"/>
          <w:highlight w:val="none"/>
        </w:rPr>
      </w:pPr>
      <w:bookmarkStart w:id="8" w:name="_Toc14836"/>
      <w:bookmarkStart w:id="9" w:name="_Toc20399"/>
      <w:r>
        <w:rPr>
          <w:rFonts w:hint="eastAsia" w:ascii="宋体" w:hAnsi="宋体"/>
          <w:color w:val="000000"/>
          <w:sz w:val="30"/>
          <w:szCs w:val="30"/>
          <w:highlight w:val="none"/>
        </w:rPr>
        <w:t>比选代理机构：瀚景项目管理有限公司重庆分公司</w:t>
      </w:r>
      <w:bookmarkEnd w:id="8"/>
      <w:bookmarkEnd w:id="9"/>
    </w:p>
    <w:p>
      <w:pPr>
        <w:spacing w:line="720" w:lineRule="exact"/>
        <w:jc w:val="center"/>
        <w:outlineLvl w:val="0"/>
        <w:rPr>
          <w:rFonts w:ascii="宋体" w:hAnsi="宋体"/>
          <w:color w:val="000000"/>
          <w:sz w:val="30"/>
          <w:szCs w:val="30"/>
          <w:highlight w:val="none"/>
        </w:rPr>
      </w:pPr>
    </w:p>
    <w:p>
      <w:pPr>
        <w:spacing w:line="720" w:lineRule="exact"/>
        <w:jc w:val="center"/>
        <w:outlineLvl w:val="0"/>
        <w:rPr>
          <w:rFonts w:ascii="方正正黑_GBK" w:hAnsi="宋体" w:eastAsia="方正正黑_GBK"/>
          <w:color w:val="000000"/>
          <w:sz w:val="30"/>
          <w:szCs w:val="30"/>
          <w:highlight w:val="none"/>
        </w:rPr>
      </w:pPr>
      <w:bookmarkStart w:id="10" w:name="_Toc13092"/>
      <w:bookmarkStart w:id="11" w:name="_Toc2374"/>
      <w:r>
        <w:rPr>
          <w:rFonts w:hint="eastAsia" w:ascii="方正正黑_GBK" w:hAnsi="宋体" w:eastAsia="方正正黑_GBK"/>
          <w:color w:val="000000"/>
          <w:sz w:val="30"/>
          <w:szCs w:val="30"/>
          <w:highlight w:val="none"/>
        </w:rPr>
        <w:t>二〇二二年九月</w:t>
      </w:r>
      <w:bookmarkEnd w:id="10"/>
      <w:bookmarkEnd w:id="11"/>
    </w:p>
    <w:p>
      <w:pPr>
        <w:spacing w:line="480" w:lineRule="exact"/>
        <w:jc w:val="center"/>
        <w:outlineLvl w:val="0"/>
        <w:rPr>
          <w:rFonts w:ascii="方正小标宋_GBK" w:eastAsia="方正小标宋_GBK"/>
          <w:color w:val="000000"/>
          <w:sz w:val="36"/>
          <w:szCs w:val="36"/>
          <w:highlight w:val="none"/>
        </w:rPr>
        <w:sectPr>
          <w:headerReference r:id="rId4" w:type="first"/>
          <w:headerReference r:id="rId3" w:type="default"/>
          <w:footerReference r:id="rId5" w:type="default"/>
          <w:pgSz w:w="11907" w:h="16840"/>
          <w:pgMar w:top="850" w:right="850" w:bottom="850" w:left="850" w:header="851" w:footer="992" w:gutter="0"/>
          <w:pgNumType w:start="1"/>
          <w:cols w:space="720" w:num="1"/>
          <w:titlePg/>
          <w:docGrid w:linePitch="381" w:charSpace="-5735"/>
        </w:sectPr>
      </w:pPr>
    </w:p>
    <w:p>
      <w:pPr>
        <w:spacing w:line="480" w:lineRule="exact"/>
        <w:jc w:val="center"/>
        <w:outlineLvl w:val="0"/>
        <w:rPr>
          <w:rFonts w:ascii="方正小标宋_GBK" w:eastAsia="方正小标宋_GBK"/>
          <w:color w:val="000000"/>
          <w:sz w:val="36"/>
          <w:szCs w:val="36"/>
          <w:highlight w:val="none"/>
        </w:rPr>
      </w:pPr>
      <w:r>
        <w:rPr>
          <w:rFonts w:hint="eastAsia" w:ascii="方正小标宋_GBK" w:eastAsia="方正小标宋_GBK"/>
          <w:color w:val="000000"/>
          <w:sz w:val="36"/>
          <w:szCs w:val="36"/>
          <w:highlight w:val="none"/>
        </w:rPr>
        <w:t xml:space="preserve"> </w:t>
      </w:r>
      <w:bookmarkStart w:id="12" w:name="_Toc28464"/>
      <w:bookmarkStart w:id="13" w:name="_Toc26425"/>
      <w:r>
        <w:rPr>
          <w:rFonts w:hint="eastAsia" w:ascii="方正小标宋_GBK" w:eastAsia="方正小标宋_GBK"/>
          <w:color w:val="000000"/>
          <w:sz w:val="36"/>
          <w:szCs w:val="36"/>
          <w:highlight w:val="none"/>
        </w:rPr>
        <w:t>目   录</w:t>
      </w:r>
      <w:bookmarkEnd w:id="12"/>
      <w:bookmarkEnd w:id="13"/>
    </w:p>
    <w:sdt>
      <w:sdtPr>
        <w:rPr>
          <w:rFonts w:ascii="宋体" w:hAnsi="宋体"/>
          <w:sz w:val="21"/>
          <w:highlight w:val="none"/>
        </w:rPr>
        <w:id w:val="147466751"/>
        <w15:color w:val="DBDBDB"/>
        <w:docPartObj>
          <w:docPartGallery w:val="Table of Contents"/>
          <w:docPartUnique/>
        </w:docPartObj>
      </w:sdtPr>
      <w:sdtEndPr>
        <w:rPr>
          <w:rFonts w:ascii="方正仿宋_GBK" w:hAnsi="Calibri" w:eastAsia="方正仿宋_GBK"/>
          <w:color w:val="000000"/>
          <w:sz w:val="24"/>
          <w:szCs w:val="20"/>
          <w:highlight w:val="none"/>
        </w:rPr>
      </w:sdtEndPr>
      <w:sdtContent>
        <w:p>
          <w:pPr>
            <w:pStyle w:val="40"/>
            <w:tabs>
              <w:tab w:val="right" w:leader="dot" w:pos="10207"/>
            </w:tabs>
            <w:rPr>
              <w:sz w:val="28"/>
              <w:szCs w:val="18"/>
            </w:rPr>
          </w:pPr>
          <w:r>
            <w:rPr>
              <w:rFonts w:ascii="方正仿宋_GBK" w:hAnsi="Calibri" w:eastAsia="方正仿宋_GBK"/>
              <w:color w:val="000000"/>
              <w:sz w:val="20"/>
              <w:szCs w:val="20"/>
              <w:highlight w:val="none"/>
            </w:rPr>
            <w:fldChar w:fldCharType="begin"/>
          </w:r>
          <w:r>
            <w:rPr>
              <w:rFonts w:ascii="方正仿宋_GBK" w:hAnsi="Calibri" w:eastAsia="方正仿宋_GBK"/>
              <w:color w:val="000000"/>
              <w:sz w:val="20"/>
              <w:szCs w:val="20"/>
              <w:highlight w:val="none"/>
            </w:rPr>
            <w:instrText xml:space="preserve">TOC \o "1-3" \h \u </w:instrText>
          </w:r>
          <w:r>
            <w:rPr>
              <w:rFonts w:ascii="方正仿宋_GBK" w:hAnsi="Calibri" w:eastAsia="方正仿宋_GBK"/>
              <w:color w:val="000000"/>
              <w:sz w:val="20"/>
              <w:szCs w:val="20"/>
              <w:highlight w:val="none"/>
            </w:rPr>
            <w:fldChar w:fldCharType="separate"/>
          </w:r>
        </w:p>
        <w:p>
          <w:pPr>
            <w:pStyle w:val="49"/>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_Toc25448 </w:instrText>
          </w:r>
          <w:r>
            <w:rPr>
              <w:rFonts w:ascii="方正仿宋_GBK" w:hAnsi="Calibri" w:eastAsia="方正仿宋_GBK"/>
              <w:sz w:val="24"/>
              <w:szCs w:val="20"/>
              <w:highlight w:val="none"/>
            </w:rPr>
            <w:fldChar w:fldCharType="separate"/>
          </w:r>
          <w:r>
            <w:rPr>
              <w:rFonts w:hint="eastAsia" w:ascii="宋体" w:hAnsi="宋体" w:eastAsia="宋体"/>
              <w:sz w:val="24"/>
              <w:szCs w:val="32"/>
              <w:highlight w:val="none"/>
            </w:rPr>
            <w:t>第一篇  竞争性比选邀请书</w:t>
          </w:r>
          <w:r>
            <w:rPr>
              <w:sz w:val="24"/>
              <w:szCs w:val="18"/>
            </w:rPr>
            <w:tab/>
          </w:r>
          <w:r>
            <w:rPr>
              <w:sz w:val="24"/>
              <w:szCs w:val="18"/>
            </w:rPr>
            <w:fldChar w:fldCharType="begin"/>
          </w:r>
          <w:r>
            <w:rPr>
              <w:sz w:val="24"/>
              <w:szCs w:val="18"/>
            </w:rPr>
            <w:instrText xml:space="preserve"> PAGEREF _Toc25448 \h </w:instrText>
          </w:r>
          <w:r>
            <w:rPr>
              <w:sz w:val="24"/>
              <w:szCs w:val="18"/>
            </w:rPr>
            <w:fldChar w:fldCharType="separate"/>
          </w:r>
          <w:r>
            <w:rPr>
              <w:sz w:val="24"/>
              <w:szCs w:val="18"/>
            </w:rPr>
            <w:t>3</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_Toc18994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一、竞争性比选内容</w:t>
          </w:r>
          <w:r>
            <w:rPr>
              <w:sz w:val="24"/>
              <w:szCs w:val="18"/>
            </w:rPr>
            <w:tab/>
          </w:r>
          <w:r>
            <w:rPr>
              <w:sz w:val="24"/>
              <w:szCs w:val="18"/>
            </w:rPr>
            <w:fldChar w:fldCharType="begin"/>
          </w:r>
          <w:r>
            <w:rPr>
              <w:sz w:val="24"/>
              <w:szCs w:val="18"/>
            </w:rPr>
            <w:instrText xml:space="preserve"> PAGEREF _Toc18994 \h </w:instrText>
          </w:r>
          <w:r>
            <w:rPr>
              <w:sz w:val="24"/>
              <w:szCs w:val="18"/>
            </w:rPr>
            <w:fldChar w:fldCharType="separate"/>
          </w:r>
          <w:r>
            <w:rPr>
              <w:sz w:val="24"/>
              <w:szCs w:val="18"/>
            </w:rPr>
            <w:t>3</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_Toc27521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二、资金来源</w:t>
          </w:r>
          <w:r>
            <w:rPr>
              <w:sz w:val="24"/>
              <w:szCs w:val="18"/>
            </w:rPr>
            <w:tab/>
          </w:r>
          <w:r>
            <w:rPr>
              <w:sz w:val="24"/>
              <w:szCs w:val="18"/>
            </w:rPr>
            <w:fldChar w:fldCharType="begin"/>
          </w:r>
          <w:r>
            <w:rPr>
              <w:sz w:val="24"/>
              <w:szCs w:val="18"/>
            </w:rPr>
            <w:instrText xml:space="preserve"> PAGEREF _Toc27521 \h </w:instrText>
          </w:r>
          <w:r>
            <w:rPr>
              <w:sz w:val="24"/>
              <w:szCs w:val="18"/>
            </w:rPr>
            <w:fldChar w:fldCharType="separate"/>
          </w:r>
          <w:r>
            <w:rPr>
              <w:sz w:val="24"/>
              <w:szCs w:val="18"/>
            </w:rPr>
            <w:t>3</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_Toc3964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三、竞选人</w:t>
          </w:r>
          <w:r>
            <w:rPr>
              <w:rFonts w:ascii="宋体" w:hAnsi="宋体"/>
              <w:sz w:val="24"/>
              <w:szCs w:val="24"/>
              <w:highlight w:val="none"/>
            </w:rPr>
            <w:t>的</w:t>
          </w:r>
          <w:r>
            <w:rPr>
              <w:rFonts w:hint="eastAsia" w:ascii="宋体" w:hAnsi="宋体"/>
              <w:sz w:val="24"/>
              <w:szCs w:val="24"/>
              <w:highlight w:val="none"/>
            </w:rPr>
            <w:t>资格条</w:t>
          </w:r>
          <w:r>
            <w:rPr>
              <w:rFonts w:ascii="宋体" w:hAnsi="宋体"/>
              <w:sz w:val="24"/>
              <w:szCs w:val="24"/>
              <w:highlight w:val="none"/>
            </w:rPr>
            <w:t>件</w:t>
          </w:r>
          <w:r>
            <w:rPr>
              <w:sz w:val="24"/>
              <w:szCs w:val="18"/>
            </w:rPr>
            <w:tab/>
          </w:r>
          <w:r>
            <w:rPr>
              <w:sz w:val="24"/>
              <w:szCs w:val="18"/>
            </w:rPr>
            <w:fldChar w:fldCharType="begin"/>
          </w:r>
          <w:r>
            <w:rPr>
              <w:sz w:val="24"/>
              <w:szCs w:val="18"/>
            </w:rPr>
            <w:instrText xml:space="preserve"> PAGEREF _Toc3964 \h </w:instrText>
          </w:r>
          <w:r>
            <w:rPr>
              <w:sz w:val="24"/>
              <w:szCs w:val="18"/>
            </w:rPr>
            <w:fldChar w:fldCharType="separate"/>
          </w:r>
          <w:r>
            <w:rPr>
              <w:sz w:val="24"/>
              <w:szCs w:val="18"/>
            </w:rPr>
            <w:t>3</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_Toc12549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四、比选的有关说明</w:t>
          </w:r>
          <w:r>
            <w:rPr>
              <w:sz w:val="24"/>
              <w:szCs w:val="18"/>
            </w:rPr>
            <w:tab/>
          </w:r>
          <w:r>
            <w:rPr>
              <w:sz w:val="24"/>
              <w:szCs w:val="18"/>
            </w:rPr>
            <w:fldChar w:fldCharType="begin"/>
          </w:r>
          <w:r>
            <w:rPr>
              <w:sz w:val="24"/>
              <w:szCs w:val="18"/>
            </w:rPr>
            <w:instrText xml:space="preserve"> PAGEREF _Toc12549 \h </w:instrText>
          </w:r>
          <w:r>
            <w:rPr>
              <w:sz w:val="24"/>
              <w:szCs w:val="18"/>
            </w:rPr>
            <w:fldChar w:fldCharType="separate"/>
          </w:r>
          <w:r>
            <w:rPr>
              <w:sz w:val="24"/>
              <w:szCs w:val="18"/>
            </w:rPr>
            <w:t>3</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_Toc29807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五、保证金</w:t>
          </w:r>
          <w:r>
            <w:rPr>
              <w:sz w:val="24"/>
              <w:szCs w:val="18"/>
            </w:rPr>
            <w:tab/>
          </w:r>
          <w:r>
            <w:rPr>
              <w:sz w:val="24"/>
              <w:szCs w:val="18"/>
            </w:rPr>
            <w:fldChar w:fldCharType="begin"/>
          </w:r>
          <w:r>
            <w:rPr>
              <w:sz w:val="24"/>
              <w:szCs w:val="18"/>
            </w:rPr>
            <w:instrText xml:space="preserve"> PAGEREF _Toc29807 \h </w:instrText>
          </w:r>
          <w:r>
            <w:rPr>
              <w:sz w:val="24"/>
              <w:szCs w:val="18"/>
            </w:rPr>
            <w:fldChar w:fldCharType="separate"/>
          </w:r>
          <w:r>
            <w:rPr>
              <w:sz w:val="24"/>
              <w:szCs w:val="18"/>
            </w:rPr>
            <w:t>5</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_Toc212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六、其它有关规定</w:t>
          </w:r>
          <w:r>
            <w:rPr>
              <w:sz w:val="24"/>
              <w:szCs w:val="18"/>
            </w:rPr>
            <w:tab/>
          </w:r>
          <w:r>
            <w:rPr>
              <w:sz w:val="24"/>
              <w:szCs w:val="18"/>
            </w:rPr>
            <w:fldChar w:fldCharType="begin"/>
          </w:r>
          <w:r>
            <w:rPr>
              <w:sz w:val="24"/>
              <w:szCs w:val="18"/>
            </w:rPr>
            <w:instrText xml:space="preserve"> PAGEREF _Toc212 \h </w:instrText>
          </w:r>
          <w:r>
            <w:rPr>
              <w:sz w:val="24"/>
              <w:szCs w:val="18"/>
            </w:rPr>
            <w:fldChar w:fldCharType="separate"/>
          </w:r>
          <w:r>
            <w:rPr>
              <w:sz w:val="24"/>
              <w:szCs w:val="18"/>
            </w:rPr>
            <w:t>5</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_Toc11177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七、联系方式</w:t>
          </w:r>
          <w:r>
            <w:rPr>
              <w:sz w:val="24"/>
              <w:szCs w:val="18"/>
            </w:rPr>
            <w:tab/>
          </w:r>
          <w:r>
            <w:rPr>
              <w:sz w:val="24"/>
              <w:szCs w:val="18"/>
            </w:rPr>
            <w:fldChar w:fldCharType="begin"/>
          </w:r>
          <w:r>
            <w:rPr>
              <w:sz w:val="24"/>
              <w:szCs w:val="18"/>
            </w:rPr>
            <w:instrText xml:space="preserve"> PAGEREF _Toc11177 \h </w:instrText>
          </w:r>
          <w:r>
            <w:rPr>
              <w:sz w:val="24"/>
              <w:szCs w:val="18"/>
            </w:rPr>
            <w:fldChar w:fldCharType="separate"/>
          </w:r>
          <w:r>
            <w:rPr>
              <w:sz w:val="24"/>
              <w:szCs w:val="18"/>
            </w:rPr>
            <w:t>6</w:t>
          </w:r>
          <w:r>
            <w:rPr>
              <w:sz w:val="24"/>
              <w:szCs w:val="18"/>
            </w:rPr>
            <w:fldChar w:fldCharType="end"/>
          </w:r>
          <w:r>
            <w:rPr>
              <w:rFonts w:ascii="方正仿宋_GBK" w:hAnsi="Calibri" w:eastAsia="方正仿宋_GBK"/>
              <w:color w:val="000000"/>
              <w:sz w:val="24"/>
              <w:szCs w:val="20"/>
              <w:highlight w:val="none"/>
            </w:rPr>
            <w:fldChar w:fldCharType="end"/>
          </w:r>
        </w:p>
        <w:p>
          <w:pPr>
            <w:pStyle w:val="49"/>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_Toc32591 </w:instrText>
          </w:r>
          <w:r>
            <w:rPr>
              <w:rFonts w:ascii="方正仿宋_GBK" w:hAnsi="Calibri" w:eastAsia="方正仿宋_GBK"/>
              <w:sz w:val="24"/>
              <w:szCs w:val="20"/>
              <w:highlight w:val="none"/>
            </w:rPr>
            <w:fldChar w:fldCharType="separate"/>
          </w:r>
          <w:r>
            <w:rPr>
              <w:rFonts w:hint="eastAsia" w:ascii="宋体" w:hAnsi="宋体" w:eastAsia="宋体"/>
              <w:sz w:val="24"/>
              <w:szCs w:val="32"/>
              <w:highlight w:val="none"/>
            </w:rPr>
            <w:t>第二篇  项目服务需求</w:t>
          </w:r>
          <w:r>
            <w:rPr>
              <w:sz w:val="24"/>
              <w:szCs w:val="18"/>
            </w:rPr>
            <w:tab/>
          </w:r>
          <w:r>
            <w:rPr>
              <w:sz w:val="24"/>
              <w:szCs w:val="18"/>
            </w:rPr>
            <w:fldChar w:fldCharType="begin"/>
          </w:r>
          <w:r>
            <w:rPr>
              <w:sz w:val="24"/>
              <w:szCs w:val="18"/>
            </w:rPr>
            <w:instrText xml:space="preserve"> PAGEREF _Toc32591 \h </w:instrText>
          </w:r>
          <w:r>
            <w:rPr>
              <w:sz w:val="24"/>
              <w:szCs w:val="18"/>
            </w:rPr>
            <w:fldChar w:fldCharType="separate"/>
          </w:r>
          <w:r>
            <w:rPr>
              <w:sz w:val="24"/>
              <w:szCs w:val="18"/>
            </w:rPr>
            <w:t>7</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_Toc31578 </w:instrText>
          </w:r>
          <w:r>
            <w:rPr>
              <w:rFonts w:ascii="方正仿宋_GBK" w:hAnsi="Calibri" w:eastAsia="方正仿宋_GBK"/>
              <w:sz w:val="24"/>
              <w:szCs w:val="20"/>
              <w:highlight w:val="none"/>
            </w:rPr>
            <w:fldChar w:fldCharType="separate"/>
          </w:r>
          <w:r>
            <w:rPr>
              <w:rFonts w:hint="eastAsia" w:ascii="宋体" w:hAnsi="宋体"/>
              <w:sz w:val="24"/>
              <w:szCs w:val="24"/>
            </w:rPr>
            <w:t xml:space="preserve">一、 </w:t>
          </w:r>
          <w:r>
            <w:rPr>
              <w:rFonts w:hint="eastAsia" w:ascii="宋体" w:hAnsi="宋体"/>
              <w:sz w:val="24"/>
              <w:szCs w:val="24"/>
              <w:highlight w:val="none"/>
            </w:rPr>
            <w:t>项目概况</w:t>
          </w:r>
          <w:r>
            <w:rPr>
              <w:sz w:val="24"/>
              <w:szCs w:val="18"/>
            </w:rPr>
            <w:tab/>
          </w:r>
          <w:r>
            <w:rPr>
              <w:sz w:val="24"/>
              <w:szCs w:val="18"/>
            </w:rPr>
            <w:fldChar w:fldCharType="begin"/>
          </w:r>
          <w:r>
            <w:rPr>
              <w:sz w:val="24"/>
              <w:szCs w:val="18"/>
            </w:rPr>
            <w:instrText xml:space="preserve"> PAGEREF _Toc31578 \h </w:instrText>
          </w:r>
          <w:r>
            <w:rPr>
              <w:sz w:val="24"/>
              <w:szCs w:val="18"/>
            </w:rPr>
            <w:fldChar w:fldCharType="separate"/>
          </w:r>
          <w:r>
            <w:rPr>
              <w:sz w:val="24"/>
              <w:szCs w:val="18"/>
            </w:rPr>
            <w:t>7</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_Toc16242 </w:instrText>
          </w:r>
          <w:r>
            <w:rPr>
              <w:rFonts w:ascii="方正仿宋_GBK" w:hAnsi="Calibri" w:eastAsia="方正仿宋_GBK"/>
              <w:sz w:val="24"/>
              <w:szCs w:val="20"/>
              <w:highlight w:val="none"/>
            </w:rPr>
            <w:fldChar w:fldCharType="separate"/>
          </w:r>
          <w:r>
            <w:rPr>
              <w:rFonts w:hint="eastAsia"/>
              <w:sz w:val="24"/>
              <w:szCs w:val="24"/>
              <w:highlight w:val="none"/>
            </w:rPr>
            <w:t>★</w:t>
          </w:r>
          <w:r>
            <w:rPr>
              <w:rFonts w:hint="eastAsia" w:ascii="宋体" w:hAnsi="宋体"/>
              <w:sz w:val="24"/>
              <w:szCs w:val="24"/>
              <w:highlight w:val="none"/>
            </w:rPr>
            <w:t>二、工作内容</w:t>
          </w:r>
          <w:r>
            <w:rPr>
              <w:sz w:val="24"/>
              <w:szCs w:val="18"/>
            </w:rPr>
            <w:tab/>
          </w:r>
          <w:r>
            <w:rPr>
              <w:sz w:val="24"/>
              <w:szCs w:val="18"/>
            </w:rPr>
            <w:fldChar w:fldCharType="begin"/>
          </w:r>
          <w:r>
            <w:rPr>
              <w:sz w:val="24"/>
              <w:szCs w:val="18"/>
            </w:rPr>
            <w:instrText xml:space="preserve"> PAGEREF _Toc16242 \h </w:instrText>
          </w:r>
          <w:r>
            <w:rPr>
              <w:sz w:val="24"/>
              <w:szCs w:val="18"/>
            </w:rPr>
            <w:fldChar w:fldCharType="separate"/>
          </w:r>
          <w:r>
            <w:rPr>
              <w:sz w:val="24"/>
              <w:szCs w:val="18"/>
            </w:rPr>
            <w:t>7</w:t>
          </w:r>
          <w:r>
            <w:rPr>
              <w:sz w:val="24"/>
              <w:szCs w:val="18"/>
            </w:rPr>
            <w:fldChar w:fldCharType="end"/>
          </w:r>
          <w:r>
            <w:rPr>
              <w:rFonts w:ascii="方正仿宋_GBK" w:hAnsi="Calibri" w:eastAsia="方正仿宋_GBK"/>
              <w:color w:val="000000"/>
              <w:sz w:val="24"/>
              <w:szCs w:val="20"/>
              <w:highlight w:val="none"/>
            </w:rPr>
            <w:fldChar w:fldCharType="end"/>
          </w:r>
        </w:p>
        <w:p>
          <w:pPr>
            <w:pStyle w:val="49"/>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_Toc25068 </w:instrText>
          </w:r>
          <w:r>
            <w:rPr>
              <w:rFonts w:ascii="方正仿宋_GBK" w:hAnsi="Calibri" w:eastAsia="方正仿宋_GBK"/>
              <w:sz w:val="24"/>
              <w:szCs w:val="20"/>
              <w:highlight w:val="none"/>
            </w:rPr>
            <w:fldChar w:fldCharType="separate"/>
          </w:r>
          <w:r>
            <w:rPr>
              <w:rFonts w:hint="eastAsia"/>
              <w:sz w:val="24"/>
              <w:szCs w:val="18"/>
              <w:highlight w:val="none"/>
            </w:rPr>
            <w:t>第三篇  项目商务要求</w:t>
          </w:r>
          <w:r>
            <w:rPr>
              <w:sz w:val="24"/>
              <w:szCs w:val="18"/>
            </w:rPr>
            <w:tab/>
          </w:r>
          <w:r>
            <w:rPr>
              <w:sz w:val="24"/>
              <w:szCs w:val="18"/>
            </w:rPr>
            <w:fldChar w:fldCharType="begin"/>
          </w:r>
          <w:r>
            <w:rPr>
              <w:sz w:val="24"/>
              <w:szCs w:val="18"/>
            </w:rPr>
            <w:instrText xml:space="preserve"> PAGEREF _Toc25068 \h </w:instrText>
          </w:r>
          <w:r>
            <w:rPr>
              <w:sz w:val="24"/>
              <w:szCs w:val="18"/>
            </w:rPr>
            <w:fldChar w:fldCharType="separate"/>
          </w:r>
          <w:r>
            <w:rPr>
              <w:sz w:val="24"/>
              <w:szCs w:val="18"/>
            </w:rPr>
            <w:t>9</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_Toc28284 </w:instrText>
          </w:r>
          <w:r>
            <w:rPr>
              <w:rFonts w:ascii="方正仿宋_GBK" w:hAnsi="Calibri" w:eastAsia="方正仿宋_GBK"/>
              <w:sz w:val="24"/>
              <w:szCs w:val="20"/>
              <w:highlight w:val="none"/>
            </w:rPr>
            <w:fldChar w:fldCharType="separate"/>
          </w:r>
          <w:r>
            <w:rPr>
              <w:rFonts w:hint="eastAsia"/>
              <w:sz w:val="24"/>
              <w:szCs w:val="24"/>
              <w:highlight w:val="none"/>
            </w:rPr>
            <w:t>★</w:t>
          </w:r>
          <w:r>
            <w:rPr>
              <w:rFonts w:hint="eastAsia"/>
              <w:bCs/>
              <w:sz w:val="24"/>
              <w:szCs w:val="24"/>
              <w:highlight w:val="none"/>
              <w:lang w:val="zh-CN"/>
            </w:rPr>
            <w:t>一、服务期、服务地点及验收方式</w:t>
          </w:r>
          <w:r>
            <w:rPr>
              <w:sz w:val="24"/>
              <w:szCs w:val="18"/>
            </w:rPr>
            <w:tab/>
          </w:r>
          <w:r>
            <w:rPr>
              <w:sz w:val="24"/>
              <w:szCs w:val="18"/>
            </w:rPr>
            <w:fldChar w:fldCharType="begin"/>
          </w:r>
          <w:r>
            <w:rPr>
              <w:sz w:val="24"/>
              <w:szCs w:val="18"/>
            </w:rPr>
            <w:instrText xml:space="preserve"> PAGEREF _Toc28284 \h </w:instrText>
          </w:r>
          <w:r>
            <w:rPr>
              <w:sz w:val="24"/>
              <w:szCs w:val="18"/>
            </w:rPr>
            <w:fldChar w:fldCharType="separate"/>
          </w:r>
          <w:r>
            <w:rPr>
              <w:sz w:val="24"/>
              <w:szCs w:val="18"/>
            </w:rPr>
            <w:t>9</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_Toc32513 </w:instrText>
          </w:r>
          <w:r>
            <w:rPr>
              <w:rFonts w:ascii="方正仿宋_GBK" w:hAnsi="Calibri" w:eastAsia="方正仿宋_GBK"/>
              <w:sz w:val="24"/>
              <w:szCs w:val="20"/>
              <w:highlight w:val="none"/>
            </w:rPr>
            <w:fldChar w:fldCharType="separate"/>
          </w:r>
          <w:r>
            <w:rPr>
              <w:rFonts w:hint="eastAsia"/>
              <w:sz w:val="24"/>
              <w:szCs w:val="24"/>
              <w:highlight w:val="none"/>
            </w:rPr>
            <w:t>★</w:t>
          </w:r>
          <w:r>
            <w:rPr>
              <w:rFonts w:hint="eastAsia"/>
              <w:bCs/>
              <w:sz w:val="24"/>
              <w:szCs w:val="24"/>
              <w:highlight w:val="none"/>
              <w:lang w:val="zh-CN"/>
            </w:rPr>
            <w:t>二、报价要求</w:t>
          </w:r>
          <w:r>
            <w:rPr>
              <w:sz w:val="24"/>
              <w:szCs w:val="18"/>
            </w:rPr>
            <w:tab/>
          </w:r>
          <w:r>
            <w:rPr>
              <w:sz w:val="24"/>
              <w:szCs w:val="18"/>
            </w:rPr>
            <w:fldChar w:fldCharType="begin"/>
          </w:r>
          <w:r>
            <w:rPr>
              <w:sz w:val="24"/>
              <w:szCs w:val="18"/>
            </w:rPr>
            <w:instrText xml:space="preserve"> PAGEREF _Toc32513 \h </w:instrText>
          </w:r>
          <w:r>
            <w:rPr>
              <w:sz w:val="24"/>
              <w:szCs w:val="18"/>
            </w:rPr>
            <w:fldChar w:fldCharType="separate"/>
          </w:r>
          <w:r>
            <w:rPr>
              <w:sz w:val="24"/>
              <w:szCs w:val="18"/>
            </w:rPr>
            <w:t>9</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_Toc13382 </w:instrText>
          </w:r>
          <w:r>
            <w:rPr>
              <w:rFonts w:ascii="方正仿宋_GBK" w:hAnsi="Calibri" w:eastAsia="方正仿宋_GBK"/>
              <w:sz w:val="24"/>
              <w:szCs w:val="20"/>
              <w:highlight w:val="none"/>
            </w:rPr>
            <w:fldChar w:fldCharType="separate"/>
          </w:r>
          <w:r>
            <w:rPr>
              <w:rFonts w:hint="eastAsia"/>
              <w:sz w:val="24"/>
              <w:szCs w:val="24"/>
              <w:highlight w:val="none"/>
            </w:rPr>
            <w:t>★</w:t>
          </w:r>
          <w:r>
            <w:rPr>
              <w:rFonts w:hint="eastAsia" w:ascii="宋体" w:hAnsi="宋体"/>
              <w:sz w:val="24"/>
              <w:szCs w:val="24"/>
              <w:highlight w:val="none"/>
            </w:rPr>
            <w:t>三、付款方式</w:t>
          </w:r>
          <w:r>
            <w:rPr>
              <w:sz w:val="24"/>
              <w:szCs w:val="18"/>
            </w:rPr>
            <w:tab/>
          </w:r>
          <w:r>
            <w:rPr>
              <w:sz w:val="24"/>
              <w:szCs w:val="18"/>
            </w:rPr>
            <w:fldChar w:fldCharType="begin"/>
          </w:r>
          <w:r>
            <w:rPr>
              <w:sz w:val="24"/>
              <w:szCs w:val="18"/>
            </w:rPr>
            <w:instrText xml:space="preserve"> PAGEREF _Toc13382 \h </w:instrText>
          </w:r>
          <w:r>
            <w:rPr>
              <w:sz w:val="24"/>
              <w:szCs w:val="18"/>
            </w:rPr>
            <w:fldChar w:fldCharType="separate"/>
          </w:r>
          <w:r>
            <w:rPr>
              <w:sz w:val="24"/>
              <w:szCs w:val="18"/>
            </w:rPr>
            <w:t>9</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_Toc936 </w:instrText>
          </w:r>
          <w:r>
            <w:rPr>
              <w:rFonts w:ascii="方正仿宋_GBK" w:hAnsi="Calibri" w:eastAsia="方正仿宋_GBK"/>
              <w:sz w:val="24"/>
              <w:szCs w:val="20"/>
              <w:highlight w:val="none"/>
            </w:rPr>
            <w:fldChar w:fldCharType="separate"/>
          </w:r>
          <w:r>
            <w:rPr>
              <w:rFonts w:hint="eastAsia"/>
              <w:sz w:val="24"/>
              <w:szCs w:val="24"/>
              <w:highlight w:val="none"/>
            </w:rPr>
            <w:t>★四、违约条款</w:t>
          </w:r>
          <w:r>
            <w:rPr>
              <w:sz w:val="24"/>
              <w:szCs w:val="18"/>
            </w:rPr>
            <w:tab/>
          </w:r>
          <w:r>
            <w:rPr>
              <w:sz w:val="24"/>
              <w:szCs w:val="18"/>
            </w:rPr>
            <w:fldChar w:fldCharType="begin"/>
          </w:r>
          <w:r>
            <w:rPr>
              <w:sz w:val="24"/>
              <w:szCs w:val="18"/>
            </w:rPr>
            <w:instrText xml:space="preserve"> PAGEREF _Toc936 \h </w:instrText>
          </w:r>
          <w:r>
            <w:rPr>
              <w:sz w:val="24"/>
              <w:szCs w:val="18"/>
            </w:rPr>
            <w:fldChar w:fldCharType="separate"/>
          </w:r>
          <w:r>
            <w:rPr>
              <w:sz w:val="24"/>
              <w:szCs w:val="18"/>
            </w:rPr>
            <w:t>10</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_Toc7392 </w:instrText>
          </w:r>
          <w:r>
            <w:rPr>
              <w:rFonts w:ascii="方正仿宋_GBK" w:hAnsi="Calibri" w:eastAsia="方正仿宋_GBK"/>
              <w:sz w:val="24"/>
              <w:szCs w:val="20"/>
              <w:highlight w:val="none"/>
            </w:rPr>
            <w:fldChar w:fldCharType="separate"/>
          </w:r>
          <w:r>
            <w:rPr>
              <w:rFonts w:hint="eastAsia"/>
              <w:sz w:val="24"/>
              <w:szCs w:val="24"/>
              <w:highlight w:val="none"/>
            </w:rPr>
            <w:t>★五、不可抗力</w:t>
          </w:r>
          <w:r>
            <w:rPr>
              <w:sz w:val="24"/>
              <w:szCs w:val="18"/>
            </w:rPr>
            <w:tab/>
          </w:r>
          <w:r>
            <w:rPr>
              <w:sz w:val="24"/>
              <w:szCs w:val="18"/>
            </w:rPr>
            <w:fldChar w:fldCharType="begin"/>
          </w:r>
          <w:r>
            <w:rPr>
              <w:sz w:val="24"/>
              <w:szCs w:val="18"/>
            </w:rPr>
            <w:instrText xml:space="preserve"> PAGEREF _Toc7392 \h </w:instrText>
          </w:r>
          <w:r>
            <w:rPr>
              <w:sz w:val="24"/>
              <w:szCs w:val="18"/>
            </w:rPr>
            <w:fldChar w:fldCharType="separate"/>
          </w:r>
          <w:r>
            <w:rPr>
              <w:sz w:val="24"/>
              <w:szCs w:val="18"/>
            </w:rPr>
            <w:t>10</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_Toc31821 </w:instrText>
          </w:r>
          <w:r>
            <w:rPr>
              <w:rFonts w:ascii="方正仿宋_GBK" w:hAnsi="Calibri" w:eastAsia="方正仿宋_GBK"/>
              <w:sz w:val="24"/>
              <w:szCs w:val="20"/>
              <w:highlight w:val="none"/>
            </w:rPr>
            <w:fldChar w:fldCharType="separate"/>
          </w:r>
          <w:r>
            <w:rPr>
              <w:rFonts w:hint="eastAsia"/>
              <w:sz w:val="24"/>
              <w:szCs w:val="24"/>
              <w:highlight w:val="none"/>
            </w:rPr>
            <w:t>★六、知识产权</w:t>
          </w:r>
          <w:r>
            <w:rPr>
              <w:sz w:val="24"/>
              <w:szCs w:val="18"/>
            </w:rPr>
            <w:tab/>
          </w:r>
          <w:r>
            <w:rPr>
              <w:sz w:val="24"/>
              <w:szCs w:val="18"/>
            </w:rPr>
            <w:fldChar w:fldCharType="begin"/>
          </w:r>
          <w:r>
            <w:rPr>
              <w:sz w:val="24"/>
              <w:szCs w:val="18"/>
            </w:rPr>
            <w:instrText xml:space="preserve"> PAGEREF _Toc31821 \h </w:instrText>
          </w:r>
          <w:r>
            <w:rPr>
              <w:sz w:val="24"/>
              <w:szCs w:val="18"/>
            </w:rPr>
            <w:fldChar w:fldCharType="separate"/>
          </w:r>
          <w:r>
            <w:rPr>
              <w:sz w:val="24"/>
              <w:szCs w:val="18"/>
            </w:rPr>
            <w:t>10</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_Toc22840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七、</w:t>
          </w:r>
          <w:r>
            <w:rPr>
              <w:rFonts w:hint="eastAsia"/>
              <w:sz w:val="24"/>
              <w:szCs w:val="24"/>
              <w:highlight w:val="none"/>
            </w:rPr>
            <w:t>其他</w:t>
          </w:r>
          <w:r>
            <w:rPr>
              <w:sz w:val="24"/>
              <w:szCs w:val="18"/>
            </w:rPr>
            <w:tab/>
          </w:r>
          <w:r>
            <w:rPr>
              <w:sz w:val="24"/>
              <w:szCs w:val="18"/>
            </w:rPr>
            <w:fldChar w:fldCharType="begin"/>
          </w:r>
          <w:r>
            <w:rPr>
              <w:sz w:val="24"/>
              <w:szCs w:val="18"/>
            </w:rPr>
            <w:instrText xml:space="preserve"> PAGEREF _Toc22840 \h </w:instrText>
          </w:r>
          <w:r>
            <w:rPr>
              <w:sz w:val="24"/>
              <w:szCs w:val="18"/>
            </w:rPr>
            <w:fldChar w:fldCharType="separate"/>
          </w:r>
          <w:r>
            <w:rPr>
              <w:sz w:val="24"/>
              <w:szCs w:val="18"/>
            </w:rPr>
            <w:t>10</w:t>
          </w:r>
          <w:r>
            <w:rPr>
              <w:sz w:val="24"/>
              <w:szCs w:val="18"/>
            </w:rPr>
            <w:fldChar w:fldCharType="end"/>
          </w:r>
          <w:r>
            <w:rPr>
              <w:rFonts w:ascii="方正仿宋_GBK" w:hAnsi="Calibri" w:eastAsia="方正仿宋_GBK"/>
              <w:color w:val="000000"/>
              <w:sz w:val="24"/>
              <w:szCs w:val="20"/>
              <w:highlight w:val="none"/>
            </w:rPr>
            <w:fldChar w:fldCharType="end"/>
          </w:r>
        </w:p>
        <w:p>
          <w:pPr>
            <w:pStyle w:val="49"/>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_Toc7056 </w:instrText>
          </w:r>
          <w:r>
            <w:rPr>
              <w:rFonts w:ascii="方正仿宋_GBK" w:hAnsi="Calibri" w:eastAsia="方正仿宋_GBK"/>
              <w:sz w:val="24"/>
              <w:szCs w:val="20"/>
              <w:highlight w:val="none"/>
            </w:rPr>
            <w:fldChar w:fldCharType="separate"/>
          </w:r>
          <w:r>
            <w:rPr>
              <w:rFonts w:hint="eastAsia" w:ascii="宋体" w:hAnsi="宋体" w:eastAsia="宋体"/>
              <w:sz w:val="24"/>
              <w:szCs w:val="32"/>
              <w:highlight w:val="none"/>
            </w:rPr>
            <w:t>第四篇  比选程序及方法、评审标准等</w:t>
          </w:r>
          <w:r>
            <w:rPr>
              <w:sz w:val="24"/>
              <w:szCs w:val="18"/>
            </w:rPr>
            <w:tab/>
          </w:r>
          <w:r>
            <w:rPr>
              <w:sz w:val="24"/>
              <w:szCs w:val="18"/>
            </w:rPr>
            <w:fldChar w:fldCharType="begin"/>
          </w:r>
          <w:r>
            <w:rPr>
              <w:sz w:val="24"/>
              <w:szCs w:val="18"/>
            </w:rPr>
            <w:instrText xml:space="preserve"> PAGEREF _Toc7056 \h </w:instrText>
          </w:r>
          <w:r>
            <w:rPr>
              <w:sz w:val="24"/>
              <w:szCs w:val="18"/>
            </w:rPr>
            <w:fldChar w:fldCharType="separate"/>
          </w:r>
          <w:r>
            <w:rPr>
              <w:sz w:val="24"/>
              <w:szCs w:val="18"/>
            </w:rPr>
            <w:t>11</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_Toc10547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一、比选程序及方法</w:t>
          </w:r>
          <w:r>
            <w:rPr>
              <w:sz w:val="24"/>
              <w:szCs w:val="18"/>
            </w:rPr>
            <w:tab/>
          </w:r>
          <w:r>
            <w:rPr>
              <w:sz w:val="24"/>
              <w:szCs w:val="18"/>
            </w:rPr>
            <w:fldChar w:fldCharType="begin"/>
          </w:r>
          <w:r>
            <w:rPr>
              <w:sz w:val="24"/>
              <w:szCs w:val="18"/>
            </w:rPr>
            <w:instrText xml:space="preserve"> PAGEREF _Toc10547 \h </w:instrText>
          </w:r>
          <w:r>
            <w:rPr>
              <w:sz w:val="24"/>
              <w:szCs w:val="18"/>
            </w:rPr>
            <w:fldChar w:fldCharType="separate"/>
          </w:r>
          <w:r>
            <w:rPr>
              <w:sz w:val="24"/>
              <w:szCs w:val="18"/>
            </w:rPr>
            <w:t>11</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_Toc8826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二、评审标准</w:t>
          </w:r>
          <w:r>
            <w:rPr>
              <w:sz w:val="24"/>
              <w:szCs w:val="18"/>
            </w:rPr>
            <w:tab/>
          </w:r>
          <w:r>
            <w:rPr>
              <w:sz w:val="24"/>
              <w:szCs w:val="18"/>
            </w:rPr>
            <w:fldChar w:fldCharType="begin"/>
          </w:r>
          <w:r>
            <w:rPr>
              <w:sz w:val="24"/>
              <w:szCs w:val="18"/>
            </w:rPr>
            <w:instrText xml:space="preserve"> PAGEREF _Toc8826 \h </w:instrText>
          </w:r>
          <w:r>
            <w:rPr>
              <w:sz w:val="24"/>
              <w:szCs w:val="18"/>
            </w:rPr>
            <w:fldChar w:fldCharType="separate"/>
          </w:r>
          <w:r>
            <w:rPr>
              <w:sz w:val="24"/>
              <w:szCs w:val="18"/>
            </w:rPr>
            <w:t>13</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_Toc16263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三、无效响应</w:t>
          </w:r>
          <w:r>
            <w:rPr>
              <w:sz w:val="24"/>
              <w:szCs w:val="18"/>
            </w:rPr>
            <w:tab/>
          </w:r>
          <w:r>
            <w:rPr>
              <w:sz w:val="24"/>
              <w:szCs w:val="18"/>
            </w:rPr>
            <w:fldChar w:fldCharType="begin"/>
          </w:r>
          <w:r>
            <w:rPr>
              <w:sz w:val="24"/>
              <w:szCs w:val="18"/>
            </w:rPr>
            <w:instrText xml:space="preserve"> PAGEREF _Toc16263 \h </w:instrText>
          </w:r>
          <w:r>
            <w:rPr>
              <w:sz w:val="24"/>
              <w:szCs w:val="18"/>
            </w:rPr>
            <w:fldChar w:fldCharType="separate"/>
          </w:r>
          <w:r>
            <w:rPr>
              <w:sz w:val="24"/>
              <w:szCs w:val="18"/>
            </w:rPr>
            <w:t>14</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_Toc17687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四、比选终止</w:t>
          </w:r>
          <w:r>
            <w:rPr>
              <w:sz w:val="24"/>
              <w:szCs w:val="18"/>
            </w:rPr>
            <w:tab/>
          </w:r>
          <w:r>
            <w:rPr>
              <w:sz w:val="24"/>
              <w:szCs w:val="18"/>
            </w:rPr>
            <w:fldChar w:fldCharType="begin"/>
          </w:r>
          <w:r>
            <w:rPr>
              <w:sz w:val="24"/>
              <w:szCs w:val="18"/>
            </w:rPr>
            <w:instrText xml:space="preserve"> PAGEREF _Toc17687 \h </w:instrText>
          </w:r>
          <w:r>
            <w:rPr>
              <w:sz w:val="24"/>
              <w:szCs w:val="18"/>
            </w:rPr>
            <w:fldChar w:fldCharType="separate"/>
          </w:r>
          <w:r>
            <w:rPr>
              <w:sz w:val="24"/>
              <w:szCs w:val="18"/>
            </w:rPr>
            <w:t>14</w:t>
          </w:r>
          <w:r>
            <w:rPr>
              <w:sz w:val="24"/>
              <w:szCs w:val="18"/>
            </w:rPr>
            <w:fldChar w:fldCharType="end"/>
          </w:r>
          <w:r>
            <w:rPr>
              <w:rFonts w:ascii="方正仿宋_GBK" w:hAnsi="Calibri" w:eastAsia="方正仿宋_GBK"/>
              <w:color w:val="000000"/>
              <w:sz w:val="24"/>
              <w:szCs w:val="20"/>
              <w:highlight w:val="none"/>
            </w:rPr>
            <w:fldChar w:fldCharType="end"/>
          </w:r>
        </w:p>
        <w:p>
          <w:pPr>
            <w:pStyle w:val="49"/>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_Toc17073 </w:instrText>
          </w:r>
          <w:r>
            <w:rPr>
              <w:rFonts w:ascii="方正仿宋_GBK" w:hAnsi="Calibri" w:eastAsia="方正仿宋_GBK"/>
              <w:sz w:val="24"/>
              <w:szCs w:val="20"/>
              <w:highlight w:val="none"/>
            </w:rPr>
            <w:fldChar w:fldCharType="separate"/>
          </w:r>
          <w:r>
            <w:rPr>
              <w:rFonts w:hint="eastAsia" w:ascii="宋体" w:hAnsi="宋体" w:eastAsia="宋体"/>
              <w:sz w:val="24"/>
              <w:szCs w:val="32"/>
              <w:highlight w:val="none"/>
            </w:rPr>
            <w:t>第五篇  竞选人须知</w:t>
          </w:r>
          <w:r>
            <w:rPr>
              <w:sz w:val="24"/>
              <w:szCs w:val="18"/>
            </w:rPr>
            <w:tab/>
          </w:r>
          <w:r>
            <w:rPr>
              <w:sz w:val="24"/>
              <w:szCs w:val="18"/>
            </w:rPr>
            <w:fldChar w:fldCharType="begin"/>
          </w:r>
          <w:r>
            <w:rPr>
              <w:sz w:val="24"/>
              <w:szCs w:val="18"/>
            </w:rPr>
            <w:instrText xml:space="preserve"> PAGEREF _Toc17073 \h </w:instrText>
          </w:r>
          <w:r>
            <w:rPr>
              <w:sz w:val="24"/>
              <w:szCs w:val="18"/>
            </w:rPr>
            <w:fldChar w:fldCharType="separate"/>
          </w:r>
          <w:r>
            <w:rPr>
              <w:sz w:val="24"/>
              <w:szCs w:val="18"/>
            </w:rPr>
            <w:t>15</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_Toc20853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一、比选竞选人</w:t>
          </w:r>
          <w:r>
            <w:rPr>
              <w:sz w:val="24"/>
              <w:szCs w:val="18"/>
            </w:rPr>
            <w:tab/>
          </w:r>
          <w:r>
            <w:rPr>
              <w:sz w:val="24"/>
              <w:szCs w:val="18"/>
            </w:rPr>
            <w:fldChar w:fldCharType="begin"/>
          </w:r>
          <w:r>
            <w:rPr>
              <w:sz w:val="24"/>
              <w:szCs w:val="18"/>
            </w:rPr>
            <w:instrText xml:space="preserve"> PAGEREF _Toc20853 \h </w:instrText>
          </w:r>
          <w:r>
            <w:rPr>
              <w:sz w:val="24"/>
              <w:szCs w:val="18"/>
            </w:rPr>
            <w:fldChar w:fldCharType="separate"/>
          </w:r>
          <w:r>
            <w:rPr>
              <w:sz w:val="24"/>
              <w:szCs w:val="18"/>
            </w:rPr>
            <w:t>15</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_Toc14113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二、竞争性比选文件</w:t>
          </w:r>
          <w:r>
            <w:rPr>
              <w:sz w:val="24"/>
              <w:szCs w:val="18"/>
            </w:rPr>
            <w:tab/>
          </w:r>
          <w:r>
            <w:rPr>
              <w:sz w:val="24"/>
              <w:szCs w:val="18"/>
            </w:rPr>
            <w:fldChar w:fldCharType="begin"/>
          </w:r>
          <w:r>
            <w:rPr>
              <w:sz w:val="24"/>
              <w:szCs w:val="18"/>
            </w:rPr>
            <w:instrText xml:space="preserve"> PAGEREF _Toc14113 \h </w:instrText>
          </w:r>
          <w:r>
            <w:rPr>
              <w:sz w:val="24"/>
              <w:szCs w:val="18"/>
            </w:rPr>
            <w:fldChar w:fldCharType="separate"/>
          </w:r>
          <w:r>
            <w:rPr>
              <w:sz w:val="24"/>
              <w:szCs w:val="18"/>
            </w:rPr>
            <w:t>15</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_Toc5667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三、比选要求</w:t>
          </w:r>
          <w:r>
            <w:rPr>
              <w:sz w:val="24"/>
              <w:szCs w:val="18"/>
            </w:rPr>
            <w:tab/>
          </w:r>
          <w:r>
            <w:rPr>
              <w:sz w:val="24"/>
              <w:szCs w:val="18"/>
            </w:rPr>
            <w:fldChar w:fldCharType="begin"/>
          </w:r>
          <w:r>
            <w:rPr>
              <w:sz w:val="24"/>
              <w:szCs w:val="18"/>
            </w:rPr>
            <w:instrText xml:space="preserve"> PAGEREF _Toc5667 \h </w:instrText>
          </w:r>
          <w:r>
            <w:rPr>
              <w:sz w:val="24"/>
              <w:szCs w:val="18"/>
            </w:rPr>
            <w:fldChar w:fldCharType="separate"/>
          </w:r>
          <w:r>
            <w:rPr>
              <w:sz w:val="24"/>
              <w:szCs w:val="18"/>
            </w:rPr>
            <w:t>15</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_Toc14139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四、中选人的确认和变更</w:t>
          </w:r>
          <w:r>
            <w:rPr>
              <w:sz w:val="24"/>
              <w:szCs w:val="18"/>
            </w:rPr>
            <w:tab/>
          </w:r>
          <w:r>
            <w:rPr>
              <w:sz w:val="24"/>
              <w:szCs w:val="18"/>
            </w:rPr>
            <w:fldChar w:fldCharType="begin"/>
          </w:r>
          <w:r>
            <w:rPr>
              <w:sz w:val="24"/>
              <w:szCs w:val="18"/>
            </w:rPr>
            <w:instrText xml:space="preserve"> PAGEREF _Toc14139 \h </w:instrText>
          </w:r>
          <w:r>
            <w:rPr>
              <w:sz w:val="24"/>
              <w:szCs w:val="18"/>
            </w:rPr>
            <w:fldChar w:fldCharType="separate"/>
          </w:r>
          <w:r>
            <w:rPr>
              <w:sz w:val="24"/>
              <w:szCs w:val="18"/>
            </w:rPr>
            <w:t>17</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_Toc3848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五、中选通知</w:t>
          </w:r>
          <w:r>
            <w:rPr>
              <w:sz w:val="24"/>
              <w:szCs w:val="18"/>
            </w:rPr>
            <w:tab/>
          </w:r>
          <w:r>
            <w:rPr>
              <w:sz w:val="24"/>
              <w:szCs w:val="18"/>
            </w:rPr>
            <w:fldChar w:fldCharType="begin"/>
          </w:r>
          <w:r>
            <w:rPr>
              <w:sz w:val="24"/>
              <w:szCs w:val="18"/>
            </w:rPr>
            <w:instrText xml:space="preserve"> PAGEREF _Toc3848 \h </w:instrText>
          </w:r>
          <w:r>
            <w:rPr>
              <w:sz w:val="24"/>
              <w:szCs w:val="18"/>
            </w:rPr>
            <w:fldChar w:fldCharType="separate"/>
          </w:r>
          <w:r>
            <w:rPr>
              <w:sz w:val="24"/>
              <w:szCs w:val="18"/>
            </w:rPr>
            <w:t>17</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_Toc13843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六、比选代理服务费</w:t>
          </w:r>
          <w:r>
            <w:rPr>
              <w:sz w:val="24"/>
              <w:szCs w:val="18"/>
            </w:rPr>
            <w:tab/>
          </w:r>
          <w:r>
            <w:rPr>
              <w:sz w:val="24"/>
              <w:szCs w:val="18"/>
            </w:rPr>
            <w:fldChar w:fldCharType="begin"/>
          </w:r>
          <w:r>
            <w:rPr>
              <w:sz w:val="24"/>
              <w:szCs w:val="18"/>
            </w:rPr>
            <w:instrText xml:space="preserve"> PAGEREF _Toc13843 \h </w:instrText>
          </w:r>
          <w:r>
            <w:rPr>
              <w:sz w:val="24"/>
              <w:szCs w:val="18"/>
            </w:rPr>
            <w:fldChar w:fldCharType="separate"/>
          </w:r>
          <w:r>
            <w:rPr>
              <w:sz w:val="24"/>
              <w:szCs w:val="18"/>
            </w:rPr>
            <w:t>18</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_Toc22153 </w:instrText>
          </w:r>
          <w:r>
            <w:rPr>
              <w:rFonts w:ascii="方正仿宋_GBK" w:hAnsi="Calibri" w:eastAsia="方正仿宋_GBK"/>
              <w:sz w:val="24"/>
              <w:szCs w:val="20"/>
              <w:highlight w:val="none"/>
            </w:rPr>
            <w:fldChar w:fldCharType="separate"/>
          </w:r>
          <w:r>
            <w:rPr>
              <w:rFonts w:hint="eastAsia" w:ascii="宋体" w:hAnsi="宋体"/>
              <w:sz w:val="24"/>
              <w:szCs w:val="24"/>
              <w:highlight w:val="none"/>
            </w:rPr>
            <w:t>七、签订合同</w:t>
          </w:r>
          <w:r>
            <w:rPr>
              <w:sz w:val="24"/>
              <w:szCs w:val="18"/>
            </w:rPr>
            <w:tab/>
          </w:r>
          <w:r>
            <w:rPr>
              <w:sz w:val="24"/>
              <w:szCs w:val="18"/>
            </w:rPr>
            <w:fldChar w:fldCharType="begin"/>
          </w:r>
          <w:r>
            <w:rPr>
              <w:sz w:val="24"/>
              <w:szCs w:val="18"/>
            </w:rPr>
            <w:instrText xml:space="preserve"> PAGEREF _Toc22153 \h </w:instrText>
          </w:r>
          <w:r>
            <w:rPr>
              <w:sz w:val="24"/>
              <w:szCs w:val="18"/>
            </w:rPr>
            <w:fldChar w:fldCharType="separate"/>
          </w:r>
          <w:r>
            <w:rPr>
              <w:sz w:val="24"/>
              <w:szCs w:val="18"/>
            </w:rPr>
            <w:t>18</w:t>
          </w:r>
          <w:r>
            <w:rPr>
              <w:sz w:val="24"/>
              <w:szCs w:val="18"/>
            </w:rPr>
            <w:fldChar w:fldCharType="end"/>
          </w:r>
          <w:r>
            <w:rPr>
              <w:rFonts w:ascii="方正仿宋_GBK" w:hAnsi="Calibri" w:eastAsia="方正仿宋_GBK"/>
              <w:color w:val="000000"/>
              <w:sz w:val="24"/>
              <w:szCs w:val="20"/>
              <w:highlight w:val="none"/>
            </w:rPr>
            <w:fldChar w:fldCharType="end"/>
          </w:r>
        </w:p>
        <w:p>
          <w:pPr>
            <w:pStyle w:val="49"/>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_Toc4502 </w:instrText>
          </w:r>
          <w:r>
            <w:rPr>
              <w:rFonts w:ascii="方正仿宋_GBK" w:hAnsi="Calibri" w:eastAsia="方正仿宋_GBK"/>
              <w:sz w:val="24"/>
              <w:szCs w:val="20"/>
              <w:highlight w:val="none"/>
            </w:rPr>
            <w:fldChar w:fldCharType="separate"/>
          </w:r>
          <w:r>
            <w:rPr>
              <w:rFonts w:hint="eastAsia" w:ascii="宋体" w:hAnsi="宋体" w:eastAsia="宋体"/>
              <w:sz w:val="24"/>
              <w:szCs w:val="32"/>
              <w:highlight w:val="none"/>
            </w:rPr>
            <w:t>第</w:t>
          </w:r>
          <w:r>
            <w:rPr>
              <w:rFonts w:ascii="宋体" w:hAnsi="宋体" w:eastAsia="宋体"/>
              <w:sz w:val="24"/>
              <w:szCs w:val="32"/>
              <w:highlight w:val="none"/>
            </w:rPr>
            <w:t>六篇</w:t>
          </w:r>
          <w:r>
            <w:rPr>
              <w:rFonts w:hint="eastAsia" w:ascii="宋体" w:hAnsi="宋体" w:eastAsia="宋体"/>
              <w:sz w:val="24"/>
              <w:szCs w:val="32"/>
              <w:highlight w:val="none"/>
            </w:rPr>
            <w:t xml:space="preserve">  采购合同</w:t>
          </w:r>
          <w:r>
            <w:rPr>
              <w:sz w:val="24"/>
              <w:szCs w:val="18"/>
            </w:rPr>
            <w:tab/>
          </w:r>
          <w:r>
            <w:rPr>
              <w:sz w:val="24"/>
              <w:szCs w:val="18"/>
            </w:rPr>
            <w:fldChar w:fldCharType="begin"/>
          </w:r>
          <w:r>
            <w:rPr>
              <w:sz w:val="24"/>
              <w:szCs w:val="18"/>
            </w:rPr>
            <w:instrText xml:space="preserve"> PAGEREF _Toc4502 \h </w:instrText>
          </w:r>
          <w:r>
            <w:rPr>
              <w:sz w:val="24"/>
              <w:szCs w:val="18"/>
            </w:rPr>
            <w:fldChar w:fldCharType="separate"/>
          </w:r>
          <w:r>
            <w:rPr>
              <w:sz w:val="24"/>
              <w:szCs w:val="18"/>
            </w:rPr>
            <w:t>19</w:t>
          </w:r>
          <w:r>
            <w:rPr>
              <w:sz w:val="24"/>
              <w:szCs w:val="18"/>
            </w:rPr>
            <w:fldChar w:fldCharType="end"/>
          </w:r>
          <w:r>
            <w:rPr>
              <w:rFonts w:ascii="方正仿宋_GBK" w:hAnsi="Calibri" w:eastAsia="方正仿宋_GBK"/>
              <w:color w:val="000000"/>
              <w:sz w:val="24"/>
              <w:szCs w:val="20"/>
              <w:highlight w:val="none"/>
            </w:rPr>
            <w:fldChar w:fldCharType="end"/>
          </w:r>
        </w:p>
        <w:p>
          <w:pPr>
            <w:pStyle w:val="49"/>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_Toc13202 </w:instrText>
          </w:r>
          <w:r>
            <w:rPr>
              <w:rFonts w:ascii="方正仿宋_GBK" w:hAnsi="Calibri" w:eastAsia="方正仿宋_GBK"/>
              <w:sz w:val="24"/>
              <w:szCs w:val="20"/>
              <w:highlight w:val="none"/>
            </w:rPr>
            <w:fldChar w:fldCharType="separate"/>
          </w:r>
          <w:r>
            <w:rPr>
              <w:rFonts w:hint="eastAsia" w:ascii="宋体" w:hAnsi="宋体" w:eastAsia="宋体"/>
              <w:sz w:val="24"/>
              <w:szCs w:val="32"/>
              <w:highlight w:val="none"/>
            </w:rPr>
            <w:t>第</w:t>
          </w:r>
          <w:r>
            <w:rPr>
              <w:rFonts w:ascii="宋体" w:hAnsi="宋体" w:eastAsia="宋体"/>
              <w:sz w:val="24"/>
              <w:szCs w:val="32"/>
              <w:highlight w:val="none"/>
            </w:rPr>
            <w:t>七</w:t>
          </w:r>
          <w:r>
            <w:rPr>
              <w:rFonts w:hint="eastAsia" w:ascii="宋体" w:hAnsi="宋体" w:eastAsia="宋体"/>
              <w:sz w:val="24"/>
              <w:szCs w:val="32"/>
              <w:highlight w:val="none"/>
            </w:rPr>
            <w:t>篇  竞选文件编制要求</w:t>
          </w:r>
          <w:r>
            <w:rPr>
              <w:sz w:val="24"/>
              <w:szCs w:val="18"/>
            </w:rPr>
            <w:tab/>
          </w:r>
          <w:r>
            <w:rPr>
              <w:sz w:val="24"/>
              <w:szCs w:val="18"/>
            </w:rPr>
            <w:fldChar w:fldCharType="begin"/>
          </w:r>
          <w:r>
            <w:rPr>
              <w:sz w:val="24"/>
              <w:szCs w:val="18"/>
            </w:rPr>
            <w:instrText xml:space="preserve"> PAGEREF _Toc13202 \h </w:instrText>
          </w:r>
          <w:r>
            <w:rPr>
              <w:sz w:val="24"/>
              <w:szCs w:val="18"/>
            </w:rPr>
            <w:fldChar w:fldCharType="separate"/>
          </w:r>
          <w:r>
            <w:rPr>
              <w:sz w:val="24"/>
              <w:szCs w:val="18"/>
            </w:rPr>
            <w:t>20</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_Toc6888 </w:instrText>
          </w:r>
          <w:r>
            <w:rPr>
              <w:rFonts w:ascii="方正仿宋_GBK" w:hAnsi="Calibri" w:eastAsia="方正仿宋_GBK"/>
              <w:sz w:val="24"/>
              <w:szCs w:val="20"/>
              <w:highlight w:val="none"/>
            </w:rPr>
            <w:fldChar w:fldCharType="separate"/>
          </w:r>
          <w:r>
            <w:rPr>
              <w:rFonts w:hint="eastAsia" w:ascii="宋体" w:hAnsi="宋体"/>
              <w:sz w:val="24"/>
              <w:szCs w:val="22"/>
              <w:highlight w:val="none"/>
            </w:rPr>
            <w:t>一</w:t>
          </w:r>
          <w:r>
            <w:rPr>
              <w:rFonts w:ascii="宋体" w:hAnsi="宋体"/>
              <w:sz w:val="24"/>
              <w:szCs w:val="22"/>
              <w:highlight w:val="none"/>
            </w:rPr>
            <w:t>、</w:t>
          </w:r>
          <w:r>
            <w:rPr>
              <w:rFonts w:hint="eastAsia" w:ascii="宋体" w:hAnsi="宋体"/>
              <w:sz w:val="24"/>
              <w:szCs w:val="22"/>
              <w:highlight w:val="none"/>
            </w:rPr>
            <w:t>竞选文件封面</w:t>
          </w:r>
          <w:r>
            <w:rPr>
              <w:sz w:val="24"/>
              <w:szCs w:val="18"/>
            </w:rPr>
            <w:tab/>
          </w:r>
          <w:r>
            <w:rPr>
              <w:sz w:val="24"/>
              <w:szCs w:val="18"/>
            </w:rPr>
            <w:fldChar w:fldCharType="begin"/>
          </w:r>
          <w:r>
            <w:rPr>
              <w:sz w:val="24"/>
              <w:szCs w:val="18"/>
            </w:rPr>
            <w:instrText xml:space="preserve"> PAGEREF _Toc6888 \h </w:instrText>
          </w:r>
          <w:r>
            <w:rPr>
              <w:sz w:val="24"/>
              <w:szCs w:val="18"/>
            </w:rPr>
            <w:fldChar w:fldCharType="separate"/>
          </w:r>
          <w:r>
            <w:rPr>
              <w:sz w:val="24"/>
              <w:szCs w:val="18"/>
            </w:rPr>
            <w:t>21</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_Toc26870 </w:instrText>
          </w:r>
          <w:r>
            <w:rPr>
              <w:rFonts w:ascii="方正仿宋_GBK" w:hAnsi="Calibri" w:eastAsia="方正仿宋_GBK"/>
              <w:sz w:val="24"/>
              <w:szCs w:val="20"/>
              <w:highlight w:val="none"/>
            </w:rPr>
            <w:fldChar w:fldCharType="separate"/>
          </w:r>
          <w:r>
            <w:rPr>
              <w:rFonts w:hint="eastAsia" w:ascii="宋体" w:hAnsi="宋体"/>
              <w:sz w:val="24"/>
              <w:szCs w:val="22"/>
              <w:highlight w:val="none"/>
            </w:rPr>
            <w:t>二、经济部分</w:t>
          </w:r>
          <w:r>
            <w:rPr>
              <w:sz w:val="24"/>
              <w:szCs w:val="18"/>
            </w:rPr>
            <w:tab/>
          </w:r>
          <w:r>
            <w:rPr>
              <w:sz w:val="24"/>
              <w:szCs w:val="18"/>
            </w:rPr>
            <w:fldChar w:fldCharType="begin"/>
          </w:r>
          <w:r>
            <w:rPr>
              <w:sz w:val="24"/>
              <w:szCs w:val="18"/>
            </w:rPr>
            <w:instrText xml:space="preserve"> PAGEREF _Toc26870 \h </w:instrText>
          </w:r>
          <w:r>
            <w:rPr>
              <w:sz w:val="24"/>
              <w:szCs w:val="18"/>
            </w:rPr>
            <w:fldChar w:fldCharType="separate"/>
          </w:r>
          <w:r>
            <w:rPr>
              <w:sz w:val="24"/>
              <w:szCs w:val="18"/>
            </w:rPr>
            <w:t>22</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_Toc28360 </w:instrText>
          </w:r>
          <w:r>
            <w:rPr>
              <w:rFonts w:ascii="方正仿宋_GBK" w:hAnsi="Calibri" w:eastAsia="方正仿宋_GBK"/>
              <w:sz w:val="24"/>
              <w:szCs w:val="20"/>
              <w:highlight w:val="none"/>
            </w:rPr>
            <w:fldChar w:fldCharType="separate"/>
          </w:r>
          <w:r>
            <w:rPr>
              <w:rFonts w:hint="eastAsia" w:ascii="宋体" w:hAnsi="宋体"/>
              <w:sz w:val="24"/>
              <w:szCs w:val="22"/>
              <w:highlight w:val="none"/>
            </w:rPr>
            <w:t>三、服务部分</w:t>
          </w:r>
          <w:r>
            <w:rPr>
              <w:sz w:val="24"/>
              <w:szCs w:val="18"/>
            </w:rPr>
            <w:tab/>
          </w:r>
          <w:r>
            <w:rPr>
              <w:sz w:val="24"/>
              <w:szCs w:val="18"/>
            </w:rPr>
            <w:fldChar w:fldCharType="begin"/>
          </w:r>
          <w:r>
            <w:rPr>
              <w:sz w:val="24"/>
              <w:szCs w:val="18"/>
            </w:rPr>
            <w:instrText xml:space="preserve"> PAGEREF _Toc28360 \h </w:instrText>
          </w:r>
          <w:r>
            <w:rPr>
              <w:sz w:val="24"/>
              <w:szCs w:val="18"/>
            </w:rPr>
            <w:fldChar w:fldCharType="separate"/>
          </w:r>
          <w:r>
            <w:rPr>
              <w:sz w:val="24"/>
              <w:szCs w:val="18"/>
            </w:rPr>
            <w:t>24</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_Toc22313 </w:instrText>
          </w:r>
          <w:r>
            <w:rPr>
              <w:rFonts w:ascii="方正仿宋_GBK" w:hAnsi="Calibri" w:eastAsia="方正仿宋_GBK"/>
              <w:sz w:val="24"/>
              <w:szCs w:val="20"/>
              <w:highlight w:val="none"/>
            </w:rPr>
            <w:fldChar w:fldCharType="separate"/>
          </w:r>
          <w:r>
            <w:rPr>
              <w:rFonts w:hint="eastAsia" w:ascii="宋体" w:hAnsi="宋体"/>
              <w:sz w:val="24"/>
              <w:szCs w:val="22"/>
              <w:highlight w:val="none"/>
            </w:rPr>
            <w:t>四、商务部分</w:t>
          </w:r>
          <w:r>
            <w:rPr>
              <w:sz w:val="24"/>
              <w:szCs w:val="18"/>
            </w:rPr>
            <w:tab/>
          </w:r>
          <w:r>
            <w:rPr>
              <w:sz w:val="24"/>
              <w:szCs w:val="18"/>
            </w:rPr>
            <w:fldChar w:fldCharType="begin"/>
          </w:r>
          <w:r>
            <w:rPr>
              <w:sz w:val="24"/>
              <w:szCs w:val="18"/>
            </w:rPr>
            <w:instrText xml:space="preserve"> PAGEREF _Toc22313 \h </w:instrText>
          </w:r>
          <w:r>
            <w:rPr>
              <w:sz w:val="24"/>
              <w:szCs w:val="18"/>
            </w:rPr>
            <w:fldChar w:fldCharType="separate"/>
          </w:r>
          <w:r>
            <w:rPr>
              <w:sz w:val="24"/>
              <w:szCs w:val="18"/>
            </w:rPr>
            <w:t>27</w:t>
          </w:r>
          <w:r>
            <w:rPr>
              <w:sz w:val="24"/>
              <w:szCs w:val="18"/>
            </w:rPr>
            <w:fldChar w:fldCharType="end"/>
          </w:r>
          <w:r>
            <w:rPr>
              <w:rFonts w:ascii="方正仿宋_GBK" w:hAnsi="Calibri" w:eastAsia="方正仿宋_GBK"/>
              <w:color w:val="000000"/>
              <w:sz w:val="24"/>
              <w:szCs w:val="20"/>
              <w:highlight w:val="none"/>
            </w:rPr>
            <w:fldChar w:fldCharType="end"/>
          </w:r>
        </w:p>
        <w:p>
          <w:pPr>
            <w:pStyle w:val="32"/>
            <w:tabs>
              <w:tab w:val="right" w:leader="dot" w:pos="10207"/>
            </w:tabs>
            <w:rPr>
              <w:sz w:val="24"/>
              <w:szCs w:val="18"/>
            </w:rPr>
          </w:pPr>
          <w:r>
            <w:rPr>
              <w:rFonts w:ascii="方正仿宋_GBK" w:hAnsi="Calibri" w:eastAsia="方正仿宋_GBK"/>
              <w:color w:val="000000"/>
              <w:sz w:val="24"/>
              <w:szCs w:val="20"/>
              <w:highlight w:val="none"/>
            </w:rPr>
            <w:fldChar w:fldCharType="begin"/>
          </w:r>
          <w:r>
            <w:rPr>
              <w:rFonts w:ascii="方正仿宋_GBK" w:hAnsi="Calibri" w:eastAsia="方正仿宋_GBK"/>
              <w:sz w:val="24"/>
              <w:szCs w:val="20"/>
              <w:highlight w:val="none"/>
            </w:rPr>
            <w:instrText xml:space="preserve"> HYPERLINK \l _Toc21754 </w:instrText>
          </w:r>
          <w:r>
            <w:rPr>
              <w:rFonts w:ascii="方正仿宋_GBK" w:hAnsi="Calibri" w:eastAsia="方正仿宋_GBK"/>
              <w:sz w:val="24"/>
              <w:szCs w:val="20"/>
              <w:highlight w:val="none"/>
            </w:rPr>
            <w:fldChar w:fldCharType="separate"/>
          </w:r>
          <w:r>
            <w:rPr>
              <w:rFonts w:hint="eastAsia" w:ascii="宋体" w:hAnsi="宋体"/>
              <w:sz w:val="24"/>
              <w:szCs w:val="22"/>
              <w:highlight w:val="none"/>
            </w:rPr>
            <w:t>五、资格条件及其他</w:t>
          </w:r>
          <w:r>
            <w:rPr>
              <w:sz w:val="24"/>
              <w:szCs w:val="18"/>
            </w:rPr>
            <w:tab/>
          </w:r>
          <w:r>
            <w:rPr>
              <w:sz w:val="24"/>
              <w:szCs w:val="18"/>
            </w:rPr>
            <w:fldChar w:fldCharType="begin"/>
          </w:r>
          <w:r>
            <w:rPr>
              <w:sz w:val="24"/>
              <w:szCs w:val="18"/>
            </w:rPr>
            <w:instrText xml:space="preserve"> PAGEREF _Toc21754 \h </w:instrText>
          </w:r>
          <w:r>
            <w:rPr>
              <w:sz w:val="24"/>
              <w:szCs w:val="18"/>
            </w:rPr>
            <w:fldChar w:fldCharType="separate"/>
          </w:r>
          <w:r>
            <w:rPr>
              <w:sz w:val="24"/>
              <w:szCs w:val="18"/>
            </w:rPr>
            <w:t>33</w:t>
          </w:r>
          <w:r>
            <w:rPr>
              <w:sz w:val="24"/>
              <w:szCs w:val="18"/>
            </w:rPr>
            <w:fldChar w:fldCharType="end"/>
          </w:r>
          <w:r>
            <w:rPr>
              <w:rFonts w:ascii="方正仿宋_GBK" w:hAnsi="Calibri" w:eastAsia="方正仿宋_GBK"/>
              <w:color w:val="000000"/>
              <w:sz w:val="24"/>
              <w:szCs w:val="20"/>
              <w:highlight w:val="none"/>
            </w:rPr>
            <w:fldChar w:fldCharType="end"/>
          </w:r>
        </w:p>
        <w:p>
          <w:pPr>
            <w:tabs>
              <w:tab w:val="right" w:leader="dot" w:pos="9000"/>
            </w:tabs>
            <w:spacing w:line="340" w:lineRule="exact"/>
            <w:ind w:left="0" w:leftChars="0"/>
            <w:jc w:val="center"/>
            <w:rPr>
              <w:rFonts w:ascii="方正仿宋_GBK" w:hAnsi="Calibri" w:eastAsia="方正仿宋_GBK"/>
              <w:color w:val="000000"/>
              <w:sz w:val="20"/>
              <w:szCs w:val="20"/>
              <w:highlight w:val="none"/>
            </w:rPr>
            <w:sectPr>
              <w:footerReference r:id="rId7" w:type="first"/>
              <w:footerReference r:id="rId6" w:type="default"/>
              <w:pgSz w:w="11907" w:h="16840"/>
              <w:pgMar w:top="850" w:right="850" w:bottom="850" w:left="850" w:header="851" w:footer="992" w:gutter="0"/>
              <w:pgNumType w:start="1"/>
              <w:cols w:space="720" w:num="1"/>
              <w:titlePg/>
              <w:docGrid w:linePitch="381" w:charSpace="-5735"/>
            </w:sectPr>
          </w:pPr>
          <w:r>
            <w:rPr>
              <w:rFonts w:ascii="方正仿宋_GBK" w:hAnsi="Calibri" w:eastAsia="方正仿宋_GBK"/>
              <w:color w:val="000000"/>
              <w:sz w:val="24"/>
              <w:szCs w:val="20"/>
              <w:highlight w:val="none"/>
            </w:rPr>
            <w:fldChar w:fldCharType="end"/>
          </w:r>
        </w:p>
      </w:sdtContent>
    </w:sdt>
    <w:p>
      <w:pPr>
        <w:pStyle w:val="5"/>
        <w:spacing w:line="360" w:lineRule="auto"/>
        <w:jc w:val="center"/>
        <w:rPr>
          <w:rFonts w:ascii="宋体" w:hAnsi="宋体" w:eastAsia="宋体"/>
          <w:color w:val="000000"/>
          <w:sz w:val="36"/>
          <w:szCs w:val="36"/>
          <w:highlight w:val="none"/>
        </w:rPr>
      </w:pPr>
      <w:bookmarkStart w:id="14" w:name="_Toc12789052"/>
      <w:bookmarkStart w:id="15" w:name="_Toc11641050"/>
      <w:bookmarkStart w:id="16" w:name="_Toc3422"/>
      <w:bookmarkStart w:id="17" w:name="_Toc25448"/>
      <w:r>
        <w:rPr>
          <w:rFonts w:hint="eastAsia" w:ascii="宋体" w:hAnsi="宋体" w:eastAsia="宋体"/>
          <w:color w:val="000000"/>
          <w:sz w:val="36"/>
          <w:szCs w:val="36"/>
          <w:highlight w:val="none"/>
        </w:rPr>
        <w:t>第一篇  竞争性比选邀请书</w:t>
      </w:r>
      <w:bookmarkEnd w:id="14"/>
      <w:bookmarkEnd w:id="15"/>
      <w:bookmarkEnd w:id="16"/>
      <w:bookmarkEnd w:id="17"/>
    </w:p>
    <w:p>
      <w:pPr>
        <w:snapToGrid w:val="0"/>
        <w:spacing w:line="360" w:lineRule="auto"/>
        <w:ind w:firstLine="560" w:firstLineChars="200"/>
        <w:rPr>
          <w:rFonts w:ascii="宋体" w:hAnsi="宋体"/>
          <w:color w:val="000000"/>
          <w:szCs w:val="28"/>
          <w:highlight w:val="none"/>
        </w:rPr>
      </w:pPr>
      <w:bookmarkStart w:id="18" w:name="_Toc317775175"/>
      <w:bookmarkStart w:id="19" w:name="_Toc313893526"/>
      <w:r>
        <w:rPr>
          <w:rFonts w:hint="eastAsia" w:ascii="宋体" w:hAnsi="宋体"/>
          <w:color w:val="000000"/>
          <w:szCs w:val="28"/>
          <w:highlight w:val="none"/>
        </w:rPr>
        <w:t>瀚景项目管理有限公司重庆分公司（以下简称：比选代理机构）受重庆市制造业人才服务中心（以下简称：比选人）的委托，对“2021“智博杯”中国（重庆）工业设计大赛产业化平台建设服务”进行竞争性比选。欢迎有资格的竞选人前来参加比选。</w:t>
      </w:r>
    </w:p>
    <w:p>
      <w:pPr>
        <w:pStyle w:val="6"/>
        <w:spacing w:before="0" w:after="0" w:line="360" w:lineRule="auto"/>
        <w:rPr>
          <w:rFonts w:ascii="宋体" w:hAnsi="宋体"/>
          <w:color w:val="000000"/>
          <w:sz w:val="28"/>
          <w:szCs w:val="28"/>
          <w:highlight w:val="none"/>
        </w:rPr>
      </w:pPr>
      <w:bookmarkStart w:id="20" w:name="_Toc14273"/>
      <w:bookmarkStart w:id="21" w:name="_Toc18994"/>
      <w:r>
        <w:rPr>
          <w:rFonts w:hint="eastAsia" w:ascii="宋体" w:hAnsi="宋体"/>
          <w:color w:val="000000"/>
          <w:sz w:val="28"/>
          <w:szCs w:val="28"/>
          <w:highlight w:val="none"/>
        </w:rPr>
        <w:t>一、竞争性比选内容</w:t>
      </w:r>
      <w:bookmarkEnd w:id="18"/>
      <w:bookmarkEnd w:id="19"/>
      <w:bookmarkEnd w:id="20"/>
      <w:bookmarkEnd w:id="21"/>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1949"/>
        <w:gridCol w:w="1949"/>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3014" w:type="dxa"/>
            <w:tcBorders>
              <w:top w:val="single" w:color="auto" w:sz="4" w:space="0"/>
              <w:left w:val="single" w:color="auto" w:sz="4" w:space="0"/>
              <w:right w:val="single" w:color="auto" w:sz="4" w:space="0"/>
            </w:tcBorders>
            <w:noWrap/>
            <w:vAlign w:val="center"/>
          </w:tcPr>
          <w:p>
            <w:pPr>
              <w:jc w:val="center"/>
              <w:rPr>
                <w:rFonts w:ascii="宋体" w:hAnsi="宋体"/>
                <w:b/>
                <w:color w:val="000000"/>
                <w:szCs w:val="28"/>
                <w:highlight w:val="none"/>
              </w:rPr>
            </w:pPr>
            <w:r>
              <w:rPr>
                <w:rFonts w:hint="eastAsia" w:ascii="宋体" w:hAnsi="宋体"/>
                <w:b/>
                <w:color w:val="000000"/>
                <w:szCs w:val="28"/>
                <w:highlight w:val="none"/>
              </w:rPr>
              <w:t>比选内容</w:t>
            </w:r>
          </w:p>
        </w:tc>
        <w:tc>
          <w:tcPr>
            <w:tcW w:w="1949" w:type="dxa"/>
            <w:tcBorders>
              <w:top w:val="single" w:color="auto" w:sz="4" w:space="0"/>
              <w:left w:val="single" w:color="auto" w:sz="4" w:space="0"/>
              <w:right w:val="single" w:color="auto" w:sz="4" w:space="0"/>
            </w:tcBorders>
            <w:noWrap/>
            <w:vAlign w:val="center"/>
          </w:tcPr>
          <w:p>
            <w:pPr>
              <w:widowControl/>
              <w:jc w:val="center"/>
              <w:rPr>
                <w:rFonts w:ascii="宋体" w:hAnsi="宋体"/>
                <w:b/>
                <w:color w:val="000000"/>
                <w:szCs w:val="28"/>
                <w:highlight w:val="none"/>
              </w:rPr>
            </w:pPr>
            <w:r>
              <w:rPr>
                <w:rFonts w:hint="eastAsia" w:ascii="宋体" w:hAnsi="宋体"/>
                <w:b/>
                <w:color w:val="000000"/>
                <w:szCs w:val="28"/>
                <w:highlight w:val="none"/>
              </w:rPr>
              <w:t>最高限价</w:t>
            </w:r>
          </w:p>
          <w:p>
            <w:pPr>
              <w:widowControl/>
              <w:jc w:val="center"/>
              <w:rPr>
                <w:rFonts w:ascii="宋体" w:hAnsi="宋体"/>
                <w:b/>
                <w:color w:val="000000"/>
                <w:szCs w:val="28"/>
                <w:highlight w:val="none"/>
              </w:rPr>
            </w:pPr>
            <w:r>
              <w:rPr>
                <w:rFonts w:hint="eastAsia" w:ascii="宋体" w:hAnsi="宋体"/>
                <w:b/>
                <w:color w:val="000000"/>
                <w:szCs w:val="28"/>
                <w:highlight w:val="none"/>
              </w:rPr>
              <w:t>（元）</w:t>
            </w:r>
          </w:p>
        </w:tc>
        <w:tc>
          <w:tcPr>
            <w:tcW w:w="1949" w:type="dxa"/>
            <w:tcBorders>
              <w:top w:val="single" w:color="auto" w:sz="4" w:space="0"/>
              <w:left w:val="single" w:color="auto" w:sz="4" w:space="0"/>
              <w:right w:val="single" w:color="auto" w:sz="4" w:space="0"/>
            </w:tcBorders>
            <w:noWrap/>
            <w:vAlign w:val="center"/>
          </w:tcPr>
          <w:p>
            <w:pPr>
              <w:widowControl/>
              <w:jc w:val="center"/>
              <w:rPr>
                <w:rFonts w:ascii="宋体" w:hAnsi="宋体"/>
                <w:b/>
                <w:color w:val="000000"/>
                <w:szCs w:val="28"/>
                <w:highlight w:val="none"/>
              </w:rPr>
            </w:pPr>
            <w:r>
              <w:rPr>
                <w:rFonts w:hint="eastAsia" w:ascii="宋体" w:hAnsi="宋体"/>
                <w:b/>
                <w:color w:val="000000"/>
                <w:szCs w:val="28"/>
                <w:highlight w:val="none"/>
              </w:rPr>
              <w:t>比选保证金</w:t>
            </w:r>
          </w:p>
          <w:p>
            <w:pPr>
              <w:widowControl/>
              <w:jc w:val="center"/>
              <w:rPr>
                <w:rFonts w:ascii="宋体" w:hAnsi="宋体"/>
                <w:b/>
                <w:color w:val="000000"/>
                <w:szCs w:val="28"/>
                <w:highlight w:val="none"/>
              </w:rPr>
            </w:pPr>
            <w:r>
              <w:rPr>
                <w:rFonts w:hint="eastAsia" w:ascii="宋体" w:hAnsi="宋体"/>
                <w:b/>
                <w:color w:val="000000"/>
                <w:szCs w:val="28"/>
                <w:highlight w:val="none"/>
              </w:rPr>
              <w:t>(元)</w:t>
            </w:r>
          </w:p>
        </w:tc>
        <w:tc>
          <w:tcPr>
            <w:tcW w:w="1949" w:type="dxa"/>
            <w:tcBorders>
              <w:top w:val="single" w:color="auto" w:sz="4" w:space="0"/>
              <w:left w:val="single" w:color="auto" w:sz="4" w:space="0"/>
              <w:right w:val="single" w:color="auto" w:sz="4" w:space="0"/>
            </w:tcBorders>
            <w:noWrap/>
            <w:vAlign w:val="center"/>
          </w:tcPr>
          <w:p>
            <w:pPr>
              <w:jc w:val="center"/>
              <w:rPr>
                <w:rFonts w:ascii="宋体" w:hAnsi="宋体"/>
                <w:b/>
                <w:color w:val="000000"/>
                <w:szCs w:val="28"/>
                <w:highlight w:val="none"/>
              </w:rPr>
            </w:pPr>
            <w:r>
              <w:rPr>
                <w:rFonts w:hint="eastAsia" w:ascii="宋体" w:hAnsi="宋体"/>
                <w:b/>
                <w:color w:val="000000"/>
                <w:szCs w:val="28"/>
                <w:highlight w:val="none"/>
              </w:rPr>
              <w:t>中选人</w:t>
            </w:r>
          </w:p>
          <w:p>
            <w:pPr>
              <w:jc w:val="center"/>
              <w:rPr>
                <w:rFonts w:ascii="宋体" w:hAnsi="宋体"/>
                <w:b/>
                <w:color w:val="000000"/>
                <w:szCs w:val="28"/>
                <w:highlight w:val="none"/>
              </w:rPr>
            </w:pPr>
            <w:r>
              <w:rPr>
                <w:rFonts w:hint="eastAsia" w:ascii="宋体" w:hAnsi="宋体"/>
                <w:b/>
                <w:color w:val="000000"/>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30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8"/>
                <w:highlight w:val="none"/>
              </w:rPr>
            </w:pPr>
            <w:r>
              <w:rPr>
                <w:rFonts w:hint="eastAsia" w:ascii="宋体" w:hAnsi="宋体"/>
                <w:color w:val="000000"/>
                <w:szCs w:val="28"/>
                <w:highlight w:val="none"/>
              </w:rPr>
              <w:t>2021“智博杯”中国（重庆）工业设计大赛产业化平台建设服务</w:t>
            </w:r>
          </w:p>
        </w:tc>
        <w:tc>
          <w:tcPr>
            <w:tcW w:w="19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8"/>
                <w:highlight w:val="none"/>
              </w:rPr>
            </w:pPr>
            <w:r>
              <w:rPr>
                <w:rFonts w:ascii="宋体" w:hAnsi="宋体" w:cs="宋体"/>
                <w:kern w:val="0"/>
                <w:szCs w:val="28"/>
                <w:highlight w:val="none"/>
              </w:rPr>
              <w:t>300000</w:t>
            </w:r>
          </w:p>
        </w:tc>
        <w:tc>
          <w:tcPr>
            <w:tcW w:w="19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Cs w:val="28"/>
                <w:highlight w:val="none"/>
                <w:lang w:val="en-US" w:eastAsia="zh-CN"/>
              </w:rPr>
            </w:pPr>
            <w:r>
              <w:rPr>
                <w:rFonts w:hint="eastAsia" w:ascii="宋体" w:hAnsi="宋体" w:cs="宋体"/>
                <w:kern w:val="0"/>
                <w:szCs w:val="28"/>
                <w:highlight w:val="none"/>
                <w:lang w:val="en-US" w:eastAsia="zh-CN"/>
              </w:rPr>
              <w:t>6000</w:t>
            </w:r>
          </w:p>
        </w:tc>
        <w:tc>
          <w:tcPr>
            <w:tcW w:w="19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8"/>
                <w:highlight w:val="none"/>
              </w:rPr>
            </w:pPr>
            <w:r>
              <w:rPr>
                <w:rFonts w:hint="eastAsia" w:ascii="宋体" w:hAnsi="宋体" w:cs="宋体"/>
                <w:kern w:val="0"/>
                <w:szCs w:val="28"/>
                <w:highlight w:val="none"/>
              </w:rPr>
              <w:t>1名</w:t>
            </w:r>
          </w:p>
        </w:tc>
      </w:tr>
    </w:tbl>
    <w:p>
      <w:pPr>
        <w:pStyle w:val="6"/>
        <w:spacing w:before="0" w:after="0" w:line="360" w:lineRule="auto"/>
        <w:rPr>
          <w:rFonts w:ascii="宋体" w:hAnsi="宋体"/>
          <w:color w:val="000000"/>
          <w:sz w:val="28"/>
          <w:szCs w:val="28"/>
          <w:highlight w:val="none"/>
        </w:rPr>
      </w:pPr>
      <w:bookmarkStart w:id="22" w:name="_Toc10325"/>
      <w:bookmarkStart w:id="23" w:name="_Toc27521"/>
      <w:bookmarkStart w:id="24" w:name="_Toc373860293"/>
      <w:bookmarkStart w:id="25" w:name="_Toc317775178"/>
      <w:r>
        <w:rPr>
          <w:rFonts w:hint="eastAsia" w:ascii="宋体" w:hAnsi="宋体"/>
          <w:color w:val="000000"/>
          <w:sz w:val="28"/>
          <w:szCs w:val="28"/>
          <w:highlight w:val="none"/>
        </w:rPr>
        <w:t>二、资金来源</w:t>
      </w:r>
      <w:bookmarkEnd w:id="22"/>
      <w:bookmarkEnd w:id="23"/>
    </w:p>
    <w:p>
      <w:pPr>
        <w:spacing w:line="360" w:lineRule="auto"/>
        <w:ind w:firstLine="560" w:firstLineChars="200"/>
        <w:rPr>
          <w:rFonts w:ascii="宋体" w:hAnsi="宋体"/>
          <w:color w:val="000000"/>
          <w:szCs w:val="28"/>
          <w:highlight w:val="none"/>
        </w:rPr>
      </w:pPr>
      <w:r>
        <w:rPr>
          <w:rFonts w:hint="eastAsia" w:ascii="宋体" w:hAnsi="宋体" w:cs="仿宋"/>
          <w:color w:val="000000"/>
          <w:szCs w:val="28"/>
          <w:highlight w:val="none"/>
        </w:rPr>
        <w:t>业主自筹。</w:t>
      </w:r>
    </w:p>
    <w:p>
      <w:pPr>
        <w:pStyle w:val="6"/>
        <w:spacing w:before="0" w:after="0" w:line="360" w:lineRule="auto"/>
        <w:rPr>
          <w:rFonts w:ascii="宋体" w:hAnsi="宋体"/>
          <w:color w:val="000000"/>
          <w:sz w:val="28"/>
          <w:szCs w:val="28"/>
          <w:highlight w:val="none"/>
        </w:rPr>
      </w:pPr>
      <w:bookmarkStart w:id="26" w:name="_Toc12558"/>
      <w:bookmarkStart w:id="27" w:name="_Toc3964"/>
      <w:r>
        <w:rPr>
          <w:rFonts w:hint="eastAsia" w:ascii="宋体" w:hAnsi="宋体"/>
          <w:color w:val="000000"/>
          <w:sz w:val="28"/>
          <w:szCs w:val="28"/>
          <w:highlight w:val="none"/>
        </w:rPr>
        <w:t>三、竞选人</w:t>
      </w:r>
      <w:r>
        <w:rPr>
          <w:rFonts w:ascii="宋体" w:hAnsi="宋体"/>
          <w:color w:val="000000"/>
          <w:sz w:val="28"/>
          <w:szCs w:val="28"/>
          <w:highlight w:val="none"/>
        </w:rPr>
        <w:t>的</w:t>
      </w:r>
      <w:r>
        <w:rPr>
          <w:rFonts w:hint="eastAsia" w:ascii="宋体" w:hAnsi="宋体"/>
          <w:color w:val="000000"/>
          <w:sz w:val="28"/>
          <w:szCs w:val="28"/>
          <w:highlight w:val="none"/>
        </w:rPr>
        <w:t>资格条</w:t>
      </w:r>
      <w:r>
        <w:rPr>
          <w:rFonts w:ascii="宋体" w:hAnsi="宋体"/>
          <w:color w:val="000000"/>
          <w:sz w:val="28"/>
          <w:szCs w:val="28"/>
          <w:highlight w:val="none"/>
        </w:rPr>
        <w:t>件</w:t>
      </w:r>
      <w:bookmarkEnd w:id="26"/>
      <w:bookmarkEnd w:id="27"/>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竞选人需满足以下基本资格条件，同时符合根据该项目特点设置的特定资格条件。</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（一）基本资格条件</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1．具有独立承担民事责任的能力；</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2．具有良好的商业信誉和健全的财务会计制度；</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3．具有履行合同所必需的设备和专业技术能力；</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4．有依法缴纳税收和社会保障资金的良好记录；</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5．参加比选前三年内，在经营活动中没有重大违法记录；</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6．法律、行政法规规定的其他条件。</w:t>
      </w:r>
    </w:p>
    <w:p>
      <w:pPr>
        <w:pStyle w:val="6"/>
        <w:spacing w:before="0" w:after="0" w:line="360" w:lineRule="auto"/>
        <w:rPr>
          <w:rFonts w:ascii="宋体" w:hAnsi="宋体"/>
          <w:color w:val="000000"/>
          <w:sz w:val="28"/>
          <w:szCs w:val="28"/>
          <w:highlight w:val="none"/>
        </w:rPr>
      </w:pPr>
      <w:bookmarkStart w:id="28" w:name="_Toc19063"/>
      <w:bookmarkStart w:id="29" w:name="_Toc12549"/>
      <w:r>
        <w:rPr>
          <w:rFonts w:hint="eastAsia" w:ascii="宋体" w:hAnsi="宋体"/>
          <w:color w:val="000000"/>
          <w:sz w:val="28"/>
          <w:szCs w:val="28"/>
          <w:highlight w:val="none"/>
        </w:rPr>
        <w:t>四、比选的有关说明</w:t>
      </w:r>
      <w:bookmarkEnd w:id="24"/>
      <w:bookmarkEnd w:id="28"/>
      <w:bookmarkEnd w:id="29"/>
    </w:p>
    <w:p>
      <w:pPr>
        <w:spacing w:line="360" w:lineRule="auto"/>
        <w:ind w:firstLine="560" w:firstLineChars="200"/>
        <w:rPr>
          <w:rFonts w:ascii="宋体" w:hAnsi="宋体"/>
          <w:color w:val="000000"/>
          <w:szCs w:val="28"/>
          <w:highlight w:val="none"/>
        </w:rPr>
      </w:pPr>
      <w:bookmarkStart w:id="30" w:name="_Toc373860294"/>
      <w:r>
        <w:rPr>
          <w:rFonts w:hint="eastAsia" w:ascii="宋体" w:hAnsi="宋体"/>
          <w:color w:val="000000"/>
          <w:szCs w:val="28"/>
          <w:highlight w:val="none"/>
        </w:rPr>
        <w:t>（一）凡有意参加比选的竞选人，请在“重庆市制造业人才服务中心”官方网站（www.cidcchina.com）平台下载本项目竞争性比选文件以及补遗等比选前公布的所有项目资料，无论竞选人下载与否，均视为已知晓所有比选实质性要求内容。</w:t>
      </w:r>
    </w:p>
    <w:p>
      <w:pPr>
        <w:spacing w:line="360" w:lineRule="auto"/>
        <w:ind w:firstLine="565" w:firstLineChars="202"/>
        <w:rPr>
          <w:rFonts w:ascii="宋体" w:hAnsi="宋体" w:eastAsia="MS Mincho"/>
          <w:color w:val="000000"/>
          <w:szCs w:val="28"/>
          <w:highlight w:val="none"/>
          <w:lang w:eastAsia="ja-JP"/>
        </w:rPr>
      </w:pPr>
      <w:r>
        <w:rPr>
          <w:rFonts w:hint="eastAsia" w:ascii="宋体" w:hAnsi="宋体"/>
          <w:color w:val="000000"/>
          <w:szCs w:val="28"/>
          <w:highlight w:val="none"/>
        </w:rPr>
        <w:t>（二）报名期：</w:t>
      </w:r>
      <w:r>
        <w:rPr>
          <w:rFonts w:hint="eastAsia" w:ascii="宋体" w:hAnsi="宋体"/>
          <w:color w:val="000000"/>
          <w:szCs w:val="28"/>
          <w:highlight w:val="none"/>
          <w:lang w:val="en-US" w:eastAsia="zh-CN"/>
        </w:rPr>
        <w:t>自公告发布之日起至</w:t>
      </w:r>
      <w:r>
        <w:rPr>
          <w:rFonts w:hint="eastAsia" w:ascii="宋体" w:hAnsi="宋体"/>
          <w:color w:val="000000"/>
          <w:szCs w:val="28"/>
          <w:highlight w:val="none"/>
        </w:rPr>
        <w:t>2022年9月</w:t>
      </w:r>
      <w:r>
        <w:rPr>
          <w:rFonts w:hint="eastAsia" w:ascii="宋体" w:hAnsi="宋体"/>
          <w:color w:val="000000"/>
          <w:szCs w:val="28"/>
          <w:highlight w:val="none"/>
          <w:lang w:val="en-US" w:eastAsia="zh-CN"/>
        </w:rPr>
        <w:t>30</w:t>
      </w:r>
      <w:r>
        <w:rPr>
          <w:rFonts w:hint="eastAsia" w:ascii="宋体" w:hAnsi="宋体"/>
          <w:color w:val="000000"/>
          <w:szCs w:val="28"/>
          <w:highlight w:val="none"/>
        </w:rPr>
        <w:t>日北京时间9:00至12:00，14:00至17:00。</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（三）报名方式：</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1.售价：人民币 300 元/份（售后不退）</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2.比选文件购买方式</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在比选文件发售期内，竞选人将比选文件购买费用汇至以下账户内进行购买。通过汇款方式购买比选文件的，将购买比选文件汇款凭证（注明项目编号、公司名称、文件费）、《采购文件发售登记表》（加盖竞选人公章）扫描后发送至3361758658@qq.com。</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户    名：瀚景项目管理有限公司重庆分公司</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账    号：123908446310202</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开户银行：招商银行重庆分行西部科学城支行</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银行行号：308653000180</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4.在比选文件发售期内购买了比选文件并按时递交竞选文件的竞选人，其竞选文件才被接收。</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 xml:space="preserve">（四）递交竞选文件地点：重庆市制造业人才服务中心 521 会议室（重庆市渝中区上清寺路1号附1号中昂·世纪环岛5层21号） </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（五）提交竞选文件开始时间：2022年</w:t>
      </w:r>
      <w:r>
        <w:rPr>
          <w:rFonts w:hint="eastAsia" w:ascii="宋体" w:hAnsi="宋体"/>
          <w:color w:val="000000"/>
          <w:szCs w:val="28"/>
          <w:highlight w:val="none"/>
          <w:lang w:val="en-US" w:eastAsia="zh-CN"/>
        </w:rPr>
        <w:t>10</w:t>
      </w:r>
      <w:r>
        <w:rPr>
          <w:rFonts w:hint="eastAsia" w:ascii="宋体" w:hAnsi="宋体"/>
          <w:color w:val="000000"/>
          <w:szCs w:val="28"/>
          <w:highlight w:val="none"/>
        </w:rPr>
        <w:t>月</w:t>
      </w:r>
      <w:r>
        <w:rPr>
          <w:rFonts w:hint="eastAsia" w:ascii="宋体" w:hAnsi="宋体"/>
          <w:color w:val="000000"/>
          <w:szCs w:val="28"/>
          <w:highlight w:val="none"/>
          <w:lang w:val="en-US" w:eastAsia="zh-CN"/>
        </w:rPr>
        <w:t>9</w:t>
      </w:r>
      <w:r>
        <w:rPr>
          <w:rFonts w:hint="eastAsia" w:ascii="宋体" w:hAnsi="宋体"/>
          <w:color w:val="000000"/>
          <w:szCs w:val="28"/>
          <w:highlight w:val="none"/>
        </w:rPr>
        <w:t>日北京时间14:00</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（六）提交竞选文件截止时间：2022年</w:t>
      </w:r>
      <w:r>
        <w:rPr>
          <w:rFonts w:hint="eastAsia" w:ascii="宋体" w:hAnsi="宋体"/>
          <w:color w:val="000000"/>
          <w:szCs w:val="28"/>
          <w:highlight w:val="none"/>
          <w:lang w:val="en-US" w:eastAsia="zh-CN"/>
        </w:rPr>
        <w:t>10</w:t>
      </w:r>
      <w:r>
        <w:rPr>
          <w:rFonts w:hint="eastAsia" w:ascii="宋体" w:hAnsi="宋体"/>
          <w:color w:val="000000"/>
          <w:szCs w:val="28"/>
          <w:highlight w:val="none"/>
        </w:rPr>
        <w:t>月</w:t>
      </w:r>
      <w:r>
        <w:rPr>
          <w:rFonts w:hint="eastAsia" w:ascii="宋体" w:hAnsi="宋体"/>
          <w:color w:val="000000"/>
          <w:szCs w:val="28"/>
          <w:highlight w:val="none"/>
          <w:lang w:val="en-US" w:eastAsia="zh-CN"/>
        </w:rPr>
        <w:t>9</w:t>
      </w:r>
      <w:r>
        <w:rPr>
          <w:rFonts w:hint="eastAsia" w:ascii="宋体" w:hAnsi="宋体"/>
          <w:color w:val="000000"/>
          <w:szCs w:val="28"/>
          <w:highlight w:val="none"/>
        </w:rPr>
        <w:t xml:space="preserve">日北京时间14:30 </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（七）比选开始时间：2022年</w:t>
      </w:r>
      <w:r>
        <w:rPr>
          <w:rFonts w:hint="eastAsia" w:ascii="宋体" w:hAnsi="宋体"/>
          <w:color w:val="000000"/>
          <w:szCs w:val="28"/>
          <w:highlight w:val="none"/>
          <w:lang w:val="en-US" w:eastAsia="zh-CN"/>
        </w:rPr>
        <w:t>10</w:t>
      </w:r>
      <w:r>
        <w:rPr>
          <w:rFonts w:hint="eastAsia" w:ascii="宋体" w:hAnsi="宋体"/>
          <w:color w:val="000000"/>
          <w:szCs w:val="28"/>
          <w:highlight w:val="none"/>
        </w:rPr>
        <w:t>月</w:t>
      </w:r>
      <w:r>
        <w:rPr>
          <w:rFonts w:hint="eastAsia" w:ascii="宋体" w:hAnsi="宋体"/>
          <w:color w:val="000000"/>
          <w:szCs w:val="28"/>
          <w:highlight w:val="none"/>
          <w:lang w:val="en-US" w:eastAsia="zh-CN"/>
        </w:rPr>
        <w:t>9</w:t>
      </w:r>
      <w:r>
        <w:rPr>
          <w:rFonts w:hint="eastAsia" w:ascii="宋体" w:hAnsi="宋体"/>
          <w:color w:val="000000"/>
          <w:szCs w:val="28"/>
          <w:highlight w:val="none"/>
        </w:rPr>
        <w:t xml:space="preserve">日北京时间14:30 </w:t>
      </w:r>
    </w:p>
    <w:p>
      <w:pPr>
        <w:spacing w:line="360" w:lineRule="auto"/>
        <w:ind w:firstLine="562" w:firstLineChars="200"/>
        <w:rPr>
          <w:rFonts w:ascii="宋体" w:hAnsi="宋体"/>
          <w:b/>
          <w:bCs/>
          <w:color w:val="000000"/>
          <w:szCs w:val="28"/>
          <w:highlight w:val="none"/>
        </w:rPr>
      </w:pPr>
      <w:r>
        <w:rPr>
          <w:rFonts w:hint="eastAsia" w:ascii="宋体" w:hAnsi="宋体"/>
          <w:b/>
          <w:bCs/>
          <w:color w:val="000000"/>
          <w:szCs w:val="28"/>
          <w:highlight w:val="none"/>
        </w:rPr>
        <w:t>注：根据防疫要求，请各个竞选人仅派1名代表参与竞选，所派人员应为竞选人法定代表人或具有法定代表人授权委托书的授权代表。竞选人代表应严格遵照防疫要求，佩戴好口罩，出示健康码、行程码须扫描场所码的按规定执行，且须具有48小时以内核酸阴性报告，未提供48小时以内核酸阴性报告或码显示异常等不符合防疫规定的竞选人代表将拒绝入内。</w:t>
      </w:r>
    </w:p>
    <w:p>
      <w:pPr>
        <w:pStyle w:val="6"/>
        <w:spacing w:before="0" w:after="0" w:line="360" w:lineRule="auto"/>
        <w:rPr>
          <w:rFonts w:ascii="宋体" w:hAnsi="宋体"/>
          <w:color w:val="000000"/>
          <w:sz w:val="28"/>
          <w:szCs w:val="28"/>
          <w:highlight w:val="none"/>
        </w:rPr>
      </w:pPr>
      <w:bookmarkStart w:id="31" w:name="_Toc23215"/>
    </w:p>
    <w:p>
      <w:pPr>
        <w:pStyle w:val="6"/>
        <w:spacing w:before="0" w:after="0" w:line="360" w:lineRule="auto"/>
        <w:rPr>
          <w:rFonts w:ascii="宋体" w:hAnsi="宋体"/>
          <w:color w:val="000000"/>
          <w:sz w:val="28"/>
          <w:szCs w:val="28"/>
          <w:highlight w:val="none"/>
        </w:rPr>
      </w:pPr>
      <w:bookmarkStart w:id="32" w:name="_Toc29807"/>
      <w:r>
        <w:rPr>
          <w:rFonts w:hint="eastAsia" w:ascii="宋体" w:hAnsi="宋体"/>
          <w:color w:val="000000"/>
          <w:sz w:val="28"/>
          <w:szCs w:val="28"/>
          <w:highlight w:val="none"/>
        </w:rPr>
        <w:t>五、保证金</w:t>
      </w:r>
      <w:bookmarkEnd w:id="30"/>
      <w:bookmarkEnd w:id="31"/>
      <w:bookmarkEnd w:id="32"/>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（一）保证金递交</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竞选人须按本项目规定的比选保证金金额进行缴纳（</w:t>
      </w:r>
      <w:r>
        <w:rPr>
          <w:rFonts w:hint="eastAsia" w:ascii="宋体" w:hAnsi="宋体"/>
          <w:b/>
          <w:color w:val="000000"/>
          <w:szCs w:val="28"/>
          <w:highlight w:val="none"/>
        </w:rPr>
        <w:t>保证金金额详见本篇，一、竞争性比选内容</w:t>
      </w:r>
      <w:r>
        <w:rPr>
          <w:rFonts w:hint="eastAsia" w:ascii="宋体" w:hAnsi="宋体"/>
          <w:color w:val="000000"/>
          <w:szCs w:val="28"/>
          <w:highlight w:val="none"/>
        </w:rPr>
        <w:t>），由竞选人从其基本账户将比选保证金汇至以下账户（</w:t>
      </w:r>
      <w:r>
        <w:rPr>
          <w:rFonts w:hint="eastAsia" w:ascii="宋体" w:hAnsi="宋体"/>
          <w:b/>
          <w:color w:val="000000"/>
          <w:szCs w:val="28"/>
          <w:highlight w:val="none"/>
        </w:rPr>
        <w:t>备注 ：</w:t>
      </w:r>
      <w:r>
        <w:rPr>
          <w:rFonts w:ascii="宋体" w:hAnsi="宋体"/>
          <w:b/>
          <w:color w:val="000000"/>
          <w:szCs w:val="28"/>
          <w:highlight w:val="none"/>
        </w:rPr>
        <w:t xml:space="preserve">  </w:t>
      </w:r>
      <w:r>
        <w:rPr>
          <w:rFonts w:hint="eastAsia" w:ascii="宋体" w:hAnsi="宋体"/>
          <w:b/>
          <w:color w:val="000000"/>
          <w:szCs w:val="28"/>
          <w:highlight w:val="none"/>
        </w:rPr>
        <w:t>保证金</w:t>
      </w:r>
      <w:r>
        <w:rPr>
          <w:rFonts w:hint="eastAsia" w:ascii="宋体" w:hAnsi="宋体"/>
          <w:color w:val="000000"/>
          <w:szCs w:val="28"/>
          <w:highlight w:val="none"/>
        </w:rPr>
        <w:t>），比选保证金的到账截止时间为评选前一天17:00时。</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保证金账户：</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户    名：瀚景项目管理有限公司重庆分公司</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账    号：123908446310202</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开户银行：招商银行股份有限公司重庆大学城支行</w:t>
      </w:r>
    </w:p>
    <w:p>
      <w:pPr>
        <w:snapToGrid w:val="0"/>
        <w:spacing w:line="360" w:lineRule="auto"/>
        <w:ind w:firstLine="560" w:firstLineChars="200"/>
        <w:rPr>
          <w:rFonts w:ascii="宋体" w:hAnsi="宋体"/>
          <w:b/>
          <w:color w:val="000000"/>
          <w:szCs w:val="28"/>
          <w:highlight w:val="none"/>
        </w:rPr>
      </w:pPr>
      <w:r>
        <w:rPr>
          <w:rFonts w:hint="eastAsia" w:ascii="宋体" w:hAnsi="宋体"/>
          <w:color w:val="000000"/>
          <w:szCs w:val="28"/>
          <w:highlight w:val="none"/>
        </w:rPr>
        <w:t>银行行号：308653000180</w:t>
      </w:r>
    </w:p>
    <w:p>
      <w:pPr>
        <w:snapToGrid w:val="0"/>
        <w:spacing w:line="360" w:lineRule="auto"/>
        <w:ind w:firstLine="562" w:firstLineChars="200"/>
        <w:rPr>
          <w:rFonts w:ascii="宋体" w:hAnsi="宋体"/>
          <w:b/>
          <w:color w:val="000000"/>
          <w:szCs w:val="28"/>
          <w:highlight w:val="none"/>
        </w:rPr>
      </w:pPr>
      <w:r>
        <w:rPr>
          <w:rFonts w:hint="eastAsia" w:ascii="宋体" w:hAnsi="宋体"/>
          <w:b/>
          <w:color w:val="000000"/>
          <w:szCs w:val="28"/>
          <w:highlight w:val="none"/>
        </w:rPr>
        <w:t>特别说明：</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1.各竞选人在银行转账（电汇）时，须充分考虑银行转账（电汇）的时间差风险，如同城转账、异地转账或汇款、跨行转账或电汇的时间要求。</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2.</w:t>
      </w:r>
      <w:r>
        <w:rPr>
          <w:rFonts w:ascii="宋体" w:hAnsi="宋体"/>
          <w:color w:val="000000"/>
          <w:szCs w:val="28"/>
          <w:highlight w:val="none"/>
        </w:rPr>
        <w:t>各</w:t>
      </w:r>
      <w:r>
        <w:rPr>
          <w:rFonts w:hint="eastAsia" w:ascii="宋体" w:hAnsi="宋体"/>
          <w:color w:val="000000"/>
          <w:szCs w:val="28"/>
          <w:highlight w:val="none"/>
        </w:rPr>
        <w:t>竞选人</w:t>
      </w:r>
      <w:r>
        <w:rPr>
          <w:rFonts w:ascii="宋体" w:hAnsi="宋体"/>
          <w:color w:val="000000"/>
          <w:szCs w:val="28"/>
          <w:highlight w:val="none"/>
        </w:rPr>
        <w:t>在递交</w:t>
      </w:r>
      <w:r>
        <w:rPr>
          <w:rFonts w:hint="eastAsia" w:ascii="宋体" w:hAnsi="宋体"/>
          <w:color w:val="000000"/>
          <w:szCs w:val="28"/>
          <w:highlight w:val="none"/>
        </w:rPr>
        <w:t>比选</w:t>
      </w:r>
      <w:r>
        <w:rPr>
          <w:rFonts w:ascii="宋体" w:hAnsi="宋体"/>
          <w:color w:val="000000"/>
          <w:szCs w:val="28"/>
          <w:highlight w:val="none"/>
        </w:rPr>
        <w:t>保证金时，到款账户为上述指定的</w:t>
      </w:r>
      <w:r>
        <w:rPr>
          <w:rFonts w:hint="eastAsia" w:ascii="宋体" w:hAnsi="宋体"/>
          <w:color w:val="000000"/>
          <w:szCs w:val="28"/>
          <w:highlight w:val="none"/>
        </w:rPr>
        <w:t>比选</w:t>
      </w:r>
      <w:r>
        <w:rPr>
          <w:rFonts w:ascii="宋体" w:hAnsi="宋体"/>
          <w:color w:val="000000"/>
          <w:szCs w:val="28"/>
          <w:highlight w:val="none"/>
        </w:rPr>
        <w:t>保证金专用账户，来款账户必须为本公司基本账户</w:t>
      </w:r>
      <w:r>
        <w:rPr>
          <w:rFonts w:hint="eastAsia" w:ascii="宋体" w:hAnsi="宋体"/>
          <w:color w:val="000000"/>
          <w:szCs w:val="28"/>
          <w:highlight w:val="none"/>
        </w:rPr>
        <w:t>。</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3.转账时请备注</w:t>
      </w:r>
      <w:r>
        <w:rPr>
          <w:rFonts w:hint="eastAsia" w:ascii="宋体" w:hAnsi="宋体"/>
          <w:b/>
          <w:bCs/>
          <w:color w:val="000000"/>
          <w:szCs w:val="28"/>
          <w:highlight w:val="none"/>
          <w:u w:val="single"/>
        </w:rPr>
        <w:t>HJ-2022-C158</w:t>
      </w:r>
      <w:r>
        <w:rPr>
          <w:rFonts w:hint="eastAsia" w:ascii="宋体" w:hAnsi="宋体"/>
          <w:b/>
          <w:bCs/>
          <w:color w:val="000000"/>
          <w:szCs w:val="28"/>
          <w:highlight w:val="none"/>
          <w:u w:val="single"/>
        </w:rPr>
        <w:t>保</w:t>
      </w:r>
      <w:r>
        <w:rPr>
          <w:rFonts w:hint="eastAsia" w:ascii="宋体" w:hAnsi="宋体"/>
          <w:b/>
          <w:bCs/>
          <w:color w:val="000000"/>
          <w:szCs w:val="28"/>
          <w:highlight w:val="none"/>
          <w:u w:val="single"/>
        </w:rPr>
        <w:t>证金</w:t>
      </w:r>
      <w:r>
        <w:rPr>
          <w:rFonts w:hint="eastAsia" w:ascii="宋体" w:hAnsi="宋体"/>
          <w:color w:val="000000"/>
          <w:szCs w:val="28"/>
          <w:highlight w:val="none"/>
        </w:rPr>
        <w:t>类似字样</w:t>
      </w:r>
      <w:r>
        <w:rPr>
          <w:rFonts w:ascii="宋体" w:hAnsi="宋体"/>
          <w:color w:val="000000"/>
          <w:szCs w:val="28"/>
          <w:highlight w:val="none"/>
        </w:rPr>
        <w:t>。</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（二）保证金退还方式</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1.未中选人的比选保证金，在中选通知书发放后，在五个工作日内按来款渠道直接退还。</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2.中选人的比选保证金，在中选人与比选人签订合同后，在五个工作日内按资金来款渠道直接退还。</w:t>
      </w:r>
    </w:p>
    <w:p>
      <w:pPr>
        <w:pStyle w:val="6"/>
        <w:spacing w:before="0" w:after="0" w:line="360" w:lineRule="auto"/>
        <w:rPr>
          <w:rFonts w:ascii="宋体" w:hAnsi="宋体"/>
          <w:color w:val="000000"/>
          <w:sz w:val="28"/>
          <w:szCs w:val="28"/>
          <w:highlight w:val="none"/>
        </w:rPr>
      </w:pPr>
      <w:bookmarkStart w:id="33" w:name="_Toc28445"/>
      <w:bookmarkStart w:id="34" w:name="_Toc212"/>
      <w:r>
        <w:rPr>
          <w:rFonts w:hint="eastAsia" w:ascii="宋体" w:hAnsi="宋体"/>
          <w:color w:val="000000"/>
          <w:sz w:val="28"/>
          <w:szCs w:val="28"/>
          <w:highlight w:val="none"/>
        </w:rPr>
        <w:t>六、</w:t>
      </w:r>
      <w:bookmarkEnd w:id="25"/>
      <w:r>
        <w:rPr>
          <w:rFonts w:hint="eastAsia" w:ascii="宋体" w:hAnsi="宋体"/>
          <w:color w:val="000000"/>
          <w:sz w:val="28"/>
          <w:szCs w:val="28"/>
          <w:highlight w:val="none"/>
        </w:rPr>
        <w:t>其它有关规定</w:t>
      </w:r>
      <w:bookmarkEnd w:id="33"/>
      <w:bookmarkEnd w:id="34"/>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（一）单位负责人为同一人或者存在直接控股、管理关系的不同竞选人，不得参加同一合同项（分包）下的比选，否则均为无效比选。</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（二）为比选项目提供整体设计、规范编制或者项目管理、监理、检测等服务的竞选人，不得再参加本项目的比选，否则均为无效响应。</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三）本项目在竞选文件提交截止时间前发布的竞争性比选文件及补遗文件（如果有）一律在“重庆市制造业人才服务中心”官方网站（www.cidcchina.com）上发布，请各竞选人注意下载；无论竞选人下载与否，均视同竞选人已知晓本项目竞争性比选文件、补遗文件（如果有）的内容。</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（四）超过竞选文件截止时间递交的竞选文件，恕不接收。</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（五）比选费用：无论比选结果如何，竞选人参与本项目比选的所有费用均应由竞选人自行承担。</w:t>
      </w:r>
    </w:p>
    <w:p>
      <w:pPr>
        <w:snapToGrid w:val="0"/>
        <w:spacing w:line="360" w:lineRule="auto"/>
        <w:ind w:firstLine="560" w:firstLineChars="200"/>
        <w:rPr>
          <w:bCs/>
          <w:color w:val="000000"/>
          <w:szCs w:val="28"/>
          <w:highlight w:val="none"/>
        </w:rPr>
      </w:pPr>
      <w:r>
        <w:rPr>
          <w:rFonts w:hint="eastAsia" w:hAnsi="宋体"/>
          <w:bCs/>
          <w:color w:val="000000"/>
          <w:szCs w:val="28"/>
          <w:highlight w:val="none"/>
        </w:rPr>
        <w:t>（</w:t>
      </w:r>
      <w:r>
        <w:rPr>
          <w:rFonts w:hAnsi="宋体"/>
          <w:bCs/>
          <w:color w:val="000000"/>
          <w:szCs w:val="28"/>
          <w:highlight w:val="none"/>
        </w:rPr>
        <w:t>六）本项目</w:t>
      </w:r>
      <w:r>
        <w:rPr>
          <w:rFonts w:hAnsi="宋体"/>
          <w:b/>
          <w:color w:val="000000"/>
          <w:szCs w:val="28"/>
          <w:highlight w:val="none"/>
        </w:rPr>
        <w:t>不接受</w:t>
      </w:r>
      <w:r>
        <w:rPr>
          <w:rFonts w:hAnsi="宋体"/>
          <w:bCs/>
          <w:color w:val="000000"/>
          <w:szCs w:val="28"/>
          <w:highlight w:val="none"/>
        </w:rPr>
        <w:t>联合体参与</w:t>
      </w:r>
      <w:r>
        <w:rPr>
          <w:rFonts w:hint="eastAsia" w:hAnsi="宋体"/>
          <w:bCs/>
          <w:color w:val="000000"/>
          <w:szCs w:val="28"/>
          <w:highlight w:val="none"/>
        </w:rPr>
        <w:t>比选</w:t>
      </w:r>
      <w:r>
        <w:rPr>
          <w:rFonts w:hAnsi="宋体"/>
          <w:bCs/>
          <w:color w:val="000000"/>
          <w:szCs w:val="28"/>
          <w:highlight w:val="none"/>
        </w:rPr>
        <w:t>。</w:t>
      </w:r>
    </w:p>
    <w:p>
      <w:pPr>
        <w:snapToGrid w:val="0"/>
        <w:spacing w:line="360" w:lineRule="auto"/>
        <w:ind w:firstLine="560" w:firstLineChars="200"/>
        <w:rPr>
          <w:color w:val="000000"/>
          <w:szCs w:val="28"/>
          <w:highlight w:val="none"/>
        </w:rPr>
      </w:pPr>
      <w:r>
        <w:rPr>
          <w:rFonts w:hAnsi="宋体"/>
          <w:color w:val="000000"/>
          <w:szCs w:val="28"/>
          <w:highlight w:val="none"/>
        </w:rPr>
        <w:t>（七）</w:t>
      </w:r>
      <w:r>
        <w:rPr>
          <w:rFonts w:hint="eastAsia" w:hAnsi="宋体"/>
          <w:color w:val="000000"/>
          <w:szCs w:val="28"/>
          <w:highlight w:val="none"/>
        </w:rPr>
        <w:t>竞选人</w:t>
      </w:r>
      <w:r>
        <w:rPr>
          <w:rFonts w:hAnsi="宋体"/>
          <w:color w:val="000000"/>
          <w:szCs w:val="28"/>
          <w:highlight w:val="none"/>
        </w:rPr>
        <w:t>列入失信被执行人、重大税收违法案件当事人名单、政府采购严重违法失信行为记录名单及其他不符合</w:t>
      </w:r>
      <w:r>
        <w:rPr>
          <w:rFonts w:hint="eastAsia" w:hAnsi="宋体"/>
          <w:color w:val="000000"/>
          <w:szCs w:val="28"/>
          <w:highlight w:val="none"/>
        </w:rPr>
        <w:t>相关法律法规</w:t>
      </w:r>
      <w:r>
        <w:rPr>
          <w:rFonts w:hAnsi="宋体"/>
          <w:color w:val="000000"/>
          <w:szCs w:val="28"/>
          <w:highlight w:val="none"/>
        </w:rPr>
        <w:t>的</w:t>
      </w:r>
      <w:r>
        <w:rPr>
          <w:rFonts w:hint="eastAsia" w:ascii="宋体" w:hAnsi="宋体"/>
          <w:color w:val="000000"/>
          <w:szCs w:val="28"/>
          <w:highlight w:val="none"/>
        </w:rPr>
        <w:t>竞选人</w:t>
      </w:r>
      <w:r>
        <w:rPr>
          <w:rFonts w:hAnsi="宋体"/>
          <w:color w:val="000000"/>
          <w:szCs w:val="28"/>
          <w:highlight w:val="none"/>
        </w:rPr>
        <w:t>，将拒绝其参与</w:t>
      </w:r>
      <w:r>
        <w:rPr>
          <w:rFonts w:hint="eastAsia" w:hAnsi="宋体"/>
          <w:color w:val="000000"/>
          <w:szCs w:val="28"/>
          <w:highlight w:val="none"/>
        </w:rPr>
        <w:t>比选</w:t>
      </w:r>
      <w:r>
        <w:rPr>
          <w:rFonts w:hAnsi="宋体"/>
          <w:color w:val="000000"/>
          <w:szCs w:val="28"/>
          <w:highlight w:val="none"/>
        </w:rPr>
        <w:t>。</w:t>
      </w:r>
    </w:p>
    <w:p>
      <w:pPr>
        <w:pStyle w:val="6"/>
        <w:spacing w:before="0" w:after="0" w:line="360" w:lineRule="auto"/>
        <w:rPr>
          <w:rFonts w:ascii="宋体" w:hAnsi="宋体"/>
          <w:color w:val="000000"/>
          <w:sz w:val="28"/>
          <w:szCs w:val="28"/>
          <w:highlight w:val="none"/>
        </w:rPr>
      </w:pPr>
      <w:bookmarkStart w:id="35" w:name="_Toc4934"/>
      <w:bookmarkStart w:id="36" w:name="_Toc11177"/>
      <w:r>
        <w:rPr>
          <w:rFonts w:hint="eastAsia" w:ascii="宋体" w:hAnsi="宋体"/>
          <w:color w:val="000000"/>
          <w:sz w:val="28"/>
          <w:szCs w:val="28"/>
          <w:highlight w:val="none"/>
        </w:rPr>
        <w:t>七、联系方式</w:t>
      </w:r>
      <w:bookmarkEnd w:id="35"/>
      <w:bookmarkEnd w:id="36"/>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(一)比选人：重庆市制造业人才服务中心</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联系人：刘老师</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电话：</w:t>
      </w:r>
      <w:r>
        <w:rPr>
          <w:rFonts w:ascii="宋体" w:hAnsi="宋体"/>
          <w:color w:val="000000"/>
          <w:szCs w:val="28"/>
          <w:highlight w:val="none"/>
        </w:rPr>
        <w:t>（023）</w:t>
      </w:r>
      <w:r>
        <w:rPr>
          <w:rFonts w:hint="eastAsia" w:ascii="宋体" w:hAnsi="宋体"/>
          <w:color w:val="000000"/>
          <w:szCs w:val="28"/>
          <w:highlight w:val="none"/>
        </w:rPr>
        <w:t xml:space="preserve">023-63899013 </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地址：重庆市渝中区上清寺路1号附1号中昂·世纪环岛5层21号</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（二）比选代理机构：瀚景项目管理有限公司重庆分公司</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联系人：李老师</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电  话：（023）63414739</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地  址：重庆市渝北区洪湖西路21号30-1</w:t>
      </w:r>
    </w:p>
    <w:p>
      <w:pPr>
        <w:snapToGrid w:val="0"/>
        <w:spacing w:line="360" w:lineRule="auto"/>
        <w:ind w:firstLine="560" w:firstLineChars="200"/>
        <w:rPr>
          <w:rFonts w:ascii="宋体" w:hAnsi="宋体"/>
          <w:color w:val="000000"/>
          <w:szCs w:val="28"/>
          <w:highlight w:val="none"/>
        </w:rPr>
      </w:pPr>
    </w:p>
    <w:p>
      <w:pPr>
        <w:pStyle w:val="59"/>
        <w:rPr>
          <w:color w:val="000000"/>
          <w:szCs w:val="28"/>
          <w:highlight w:val="none"/>
        </w:rPr>
      </w:pPr>
    </w:p>
    <w:p>
      <w:pPr>
        <w:snapToGrid w:val="0"/>
        <w:spacing w:line="360" w:lineRule="auto"/>
        <w:ind w:firstLine="560" w:firstLineChars="200"/>
        <w:rPr>
          <w:rFonts w:ascii="宋体" w:hAnsi="宋体"/>
          <w:color w:val="000000"/>
          <w:szCs w:val="28"/>
          <w:highlight w:val="none"/>
        </w:rPr>
      </w:pPr>
    </w:p>
    <w:p>
      <w:pPr>
        <w:snapToGrid w:val="0"/>
        <w:spacing w:line="360" w:lineRule="auto"/>
        <w:ind w:firstLine="560" w:firstLineChars="200"/>
        <w:rPr>
          <w:rFonts w:ascii="宋体" w:hAnsi="宋体"/>
          <w:color w:val="000000"/>
          <w:szCs w:val="28"/>
          <w:highlight w:val="none"/>
        </w:rPr>
      </w:pPr>
    </w:p>
    <w:p>
      <w:pPr>
        <w:snapToGrid w:val="0"/>
        <w:spacing w:line="360" w:lineRule="auto"/>
        <w:ind w:firstLine="560" w:firstLineChars="200"/>
        <w:rPr>
          <w:rFonts w:ascii="宋体" w:hAnsi="宋体"/>
          <w:color w:val="000000"/>
          <w:szCs w:val="28"/>
          <w:highlight w:val="none"/>
        </w:rPr>
      </w:pPr>
    </w:p>
    <w:p>
      <w:pPr>
        <w:snapToGrid w:val="0"/>
        <w:spacing w:line="360" w:lineRule="auto"/>
        <w:ind w:firstLine="560" w:firstLineChars="200"/>
        <w:rPr>
          <w:rFonts w:ascii="宋体" w:hAnsi="宋体"/>
          <w:color w:val="000000"/>
          <w:szCs w:val="28"/>
          <w:highlight w:val="none"/>
        </w:rPr>
      </w:pPr>
    </w:p>
    <w:p>
      <w:pPr>
        <w:pStyle w:val="5"/>
        <w:spacing w:before="140" w:after="140" w:line="360" w:lineRule="auto"/>
        <w:jc w:val="center"/>
        <w:rPr>
          <w:rFonts w:ascii="宋体" w:hAnsi="宋体" w:eastAsia="宋体"/>
          <w:color w:val="000000"/>
          <w:sz w:val="36"/>
          <w:szCs w:val="36"/>
          <w:highlight w:val="none"/>
        </w:rPr>
      </w:pPr>
      <w:bookmarkStart w:id="37" w:name="_Toc102227313"/>
      <w:bookmarkStart w:id="38" w:name="_Toc12386"/>
      <w:bookmarkStart w:id="39" w:name="_Toc32591"/>
      <w:r>
        <w:rPr>
          <w:rFonts w:hint="eastAsia" w:ascii="宋体" w:hAnsi="宋体" w:eastAsia="宋体"/>
          <w:color w:val="000000"/>
          <w:sz w:val="36"/>
          <w:szCs w:val="36"/>
          <w:highlight w:val="none"/>
        </w:rPr>
        <w:t xml:space="preserve">第二篇  </w:t>
      </w:r>
      <w:bookmarkEnd w:id="37"/>
      <w:r>
        <w:rPr>
          <w:rFonts w:hint="eastAsia" w:ascii="宋体" w:hAnsi="宋体" w:eastAsia="宋体"/>
          <w:color w:val="000000"/>
          <w:sz w:val="36"/>
          <w:szCs w:val="36"/>
          <w:highlight w:val="none"/>
        </w:rPr>
        <w:t>项目服务需求</w:t>
      </w:r>
      <w:bookmarkEnd w:id="38"/>
      <w:bookmarkEnd w:id="39"/>
    </w:p>
    <w:p>
      <w:pPr>
        <w:pStyle w:val="129"/>
        <w:ind w:left="0" w:leftChars="0" w:firstLine="632"/>
        <w:jc w:val="left"/>
        <w:rPr>
          <w:rFonts w:ascii="宋体" w:hAnsi="宋体"/>
          <w:b/>
          <w:sz w:val="28"/>
          <w:szCs w:val="28"/>
          <w:highlight w:val="none"/>
        </w:rPr>
      </w:pPr>
      <w:r>
        <w:rPr>
          <w:rFonts w:hint="eastAsia"/>
          <w:b/>
          <w:sz w:val="28"/>
          <w:szCs w:val="28"/>
          <w:highlight w:val="none"/>
        </w:rPr>
        <w:t>备注：★标注条款为实质性要求，作为符合性评审标准，不符合的按无效响应处理。</w:t>
      </w:r>
    </w:p>
    <w:p>
      <w:pPr>
        <w:pStyle w:val="6"/>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ascii="宋体" w:hAnsi="宋体"/>
          <w:color w:val="000000"/>
          <w:sz w:val="28"/>
          <w:szCs w:val="28"/>
          <w:highlight w:val="none"/>
        </w:rPr>
      </w:pPr>
      <w:bookmarkStart w:id="40" w:name="_Toc499304015"/>
      <w:bookmarkStart w:id="41" w:name="_Toc29301"/>
      <w:bookmarkStart w:id="42" w:name="_Toc31578"/>
      <w:r>
        <w:rPr>
          <w:rFonts w:hint="eastAsia" w:ascii="宋体" w:hAnsi="宋体"/>
          <w:color w:val="000000"/>
          <w:sz w:val="28"/>
          <w:szCs w:val="28"/>
          <w:highlight w:val="none"/>
        </w:rPr>
        <w:t>项目</w:t>
      </w:r>
      <w:bookmarkEnd w:id="40"/>
      <w:r>
        <w:rPr>
          <w:rFonts w:hint="eastAsia" w:ascii="宋体" w:hAnsi="宋体"/>
          <w:color w:val="000000"/>
          <w:sz w:val="28"/>
          <w:szCs w:val="28"/>
          <w:highlight w:val="none"/>
        </w:rPr>
        <w:t>概况</w:t>
      </w:r>
      <w:bookmarkEnd w:id="41"/>
      <w:bookmarkEnd w:id="42"/>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color w:val="000000"/>
          <w:szCs w:val="28"/>
          <w:highlight w:val="none"/>
        </w:rPr>
      </w:pPr>
      <w:r>
        <w:rPr>
          <w:rFonts w:hint="eastAsia" w:ascii="宋体" w:hAnsi="宋体"/>
          <w:color w:val="000000"/>
          <w:szCs w:val="28"/>
          <w:highlight w:val="none"/>
        </w:rPr>
        <w:t>按照2021“智博杯”中国（重庆）工业设计大赛整体流程，积极做好大赛相关工作，将进行产业化平台建设项目，按要求做好智博杯参赛作品产业化建设等工作。</w:t>
      </w:r>
    </w:p>
    <w:p>
      <w:pPr>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ascii="宋体" w:hAnsi="宋体"/>
          <w:color w:val="000000"/>
          <w:szCs w:val="28"/>
          <w:highlight w:val="none"/>
        </w:rPr>
      </w:pPr>
      <w:r>
        <w:rPr>
          <w:rFonts w:hint="eastAsia" w:ascii="宋体" w:hAnsi="宋体"/>
          <w:color w:val="000000"/>
          <w:szCs w:val="28"/>
          <w:highlight w:val="none"/>
        </w:rPr>
        <w:t>以智博杯参赛作品产业化为导向，建设全球化工业设计产业化及资源协同平台，瞄准作品曝光率低、供需信息不对称、孵化困难等痛点提供包含资源集聚、品牌赋能、项目孵化等服务的的工业设计全要素全产业链解决方案。项目包含：</w:t>
      </w:r>
    </w:p>
    <w:p>
      <w:pPr>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1"/>
        <w:rPr>
          <w:rFonts w:ascii="宋体" w:hAnsi="宋体"/>
          <w:color w:val="000000"/>
          <w:szCs w:val="28"/>
          <w:highlight w:val="none"/>
        </w:rPr>
      </w:pPr>
      <w:bookmarkStart w:id="43" w:name="_Toc2034"/>
      <w:r>
        <w:rPr>
          <w:rFonts w:hint="eastAsia" w:ascii="宋体" w:hAnsi="宋体"/>
          <w:color w:val="000000"/>
          <w:szCs w:val="28"/>
          <w:highlight w:val="none"/>
        </w:rPr>
        <w:t>（一）资源共享</w:t>
      </w:r>
      <w:bookmarkEnd w:id="43"/>
    </w:p>
    <w:p>
      <w:pPr>
        <w:pageBreakBefore w:val="0"/>
        <w:widowControl w:val="0"/>
        <w:tabs>
          <w:tab w:val="left" w:pos="871"/>
          <w:tab w:val="left" w:pos="5446"/>
        </w:tabs>
        <w:kinsoku/>
        <w:wordWrap/>
        <w:overflowPunct/>
        <w:topLinePunct w:val="0"/>
        <w:autoSpaceDE/>
        <w:autoSpaceDN/>
        <w:bidi w:val="0"/>
        <w:adjustRightInd/>
        <w:snapToGrid/>
        <w:spacing w:line="360" w:lineRule="auto"/>
        <w:ind w:firstLine="560" w:firstLineChars="200"/>
        <w:textAlignment w:val="auto"/>
        <w:rPr>
          <w:rFonts w:ascii="宋体" w:hAnsi="宋体"/>
          <w:color w:val="000000"/>
          <w:szCs w:val="28"/>
          <w:highlight w:val="none"/>
        </w:rPr>
      </w:pPr>
      <w:r>
        <w:rPr>
          <w:rFonts w:hint="eastAsia" w:ascii="宋体" w:hAnsi="宋体"/>
          <w:color w:val="000000"/>
          <w:szCs w:val="28"/>
          <w:highlight w:val="none"/>
        </w:rPr>
        <w:t>实现包含参赛者，上下游企业，作品服务商，高校等机构信息共享。实现产业资源多维度协同与交易，运用工业设计助推产业转型升级。</w:t>
      </w:r>
    </w:p>
    <w:p>
      <w:pPr>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1"/>
        <w:rPr>
          <w:rFonts w:ascii="宋体" w:hAnsi="宋体"/>
          <w:color w:val="000000"/>
          <w:szCs w:val="28"/>
          <w:highlight w:val="none"/>
        </w:rPr>
      </w:pPr>
      <w:bookmarkStart w:id="44" w:name="_Toc28405"/>
      <w:r>
        <w:rPr>
          <w:rFonts w:hint="eastAsia" w:ascii="宋体" w:hAnsi="宋体"/>
          <w:color w:val="000000"/>
          <w:szCs w:val="28"/>
          <w:highlight w:val="none"/>
        </w:rPr>
        <w:t>（二）平台服务</w:t>
      </w:r>
      <w:bookmarkEnd w:id="44"/>
    </w:p>
    <w:p>
      <w:pPr>
        <w:pStyle w:val="2"/>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olor w:val="000000"/>
          <w:sz w:val="28"/>
          <w:szCs w:val="28"/>
          <w:highlight w:val="none"/>
        </w:rPr>
      </w:pPr>
      <w:r>
        <w:rPr>
          <w:rFonts w:hint="eastAsia" w:ascii="宋体" w:hAnsi="宋体" w:eastAsia="宋体"/>
          <w:color w:val="000000"/>
          <w:sz w:val="28"/>
          <w:szCs w:val="28"/>
          <w:highlight w:val="none"/>
        </w:rPr>
        <w:t>包含设计服务、创意服务、人才培养、品牌营销等全方位的解决方案，打造全链条设计产业集群，形成工业设计订单基地</w:t>
      </w:r>
    </w:p>
    <w:p>
      <w:pPr>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1"/>
        <w:rPr>
          <w:rFonts w:ascii="宋体" w:hAnsi="宋体"/>
          <w:color w:val="000000"/>
          <w:szCs w:val="28"/>
          <w:highlight w:val="none"/>
        </w:rPr>
      </w:pPr>
      <w:bookmarkStart w:id="45" w:name="_Toc9913"/>
      <w:r>
        <w:rPr>
          <w:rFonts w:hint="eastAsia" w:ascii="宋体" w:hAnsi="宋体"/>
          <w:color w:val="000000"/>
          <w:szCs w:val="28"/>
          <w:highlight w:val="none"/>
        </w:rPr>
        <w:t>（三）产业孵化</w:t>
      </w:r>
      <w:bookmarkEnd w:id="45"/>
    </w:p>
    <w:p>
      <w:pPr>
        <w:pStyle w:val="2"/>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olor w:val="000000"/>
          <w:sz w:val="28"/>
          <w:szCs w:val="28"/>
          <w:highlight w:val="none"/>
        </w:rPr>
      </w:pPr>
      <w:r>
        <w:rPr>
          <w:rFonts w:hint="eastAsia" w:ascii="宋体" w:hAnsi="宋体" w:eastAsia="宋体"/>
          <w:color w:val="000000"/>
          <w:sz w:val="28"/>
          <w:szCs w:val="28"/>
          <w:highlight w:val="none"/>
        </w:rPr>
        <w:t>引导上下游企业及人才集聚，并建设行业基金、财务、法律、人才、咨询等功能，构建完整产业生态。</w:t>
      </w:r>
    </w:p>
    <w:p>
      <w:pPr>
        <w:pStyle w:val="2"/>
        <w:pageBreakBefore w:val="0"/>
        <w:widowControl w:val="0"/>
        <w:kinsoku/>
        <w:wordWrap/>
        <w:overflowPunct/>
        <w:topLinePunct w:val="0"/>
        <w:autoSpaceDE/>
        <w:autoSpaceDN/>
        <w:bidi w:val="0"/>
        <w:adjustRightInd/>
        <w:snapToGrid/>
        <w:spacing w:line="360" w:lineRule="auto"/>
        <w:ind w:firstLine="640" w:firstLineChars="200"/>
        <w:textAlignment w:val="auto"/>
        <w:rPr>
          <w:highlight w:val="none"/>
        </w:rPr>
      </w:pPr>
    </w:p>
    <w:p>
      <w:pPr>
        <w:pStyle w:val="6"/>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ascii="宋体" w:hAnsi="宋体"/>
          <w:color w:val="000000"/>
          <w:sz w:val="28"/>
          <w:szCs w:val="28"/>
          <w:highlight w:val="none"/>
        </w:rPr>
      </w:pPr>
      <w:bookmarkStart w:id="46" w:name="_Toc32115"/>
      <w:bookmarkStart w:id="47" w:name="_Toc16242"/>
      <w:r>
        <w:rPr>
          <w:rFonts w:hint="eastAsia"/>
          <w:sz w:val="28"/>
          <w:szCs w:val="28"/>
          <w:highlight w:val="none"/>
        </w:rPr>
        <w:t>★</w:t>
      </w:r>
      <w:r>
        <w:rPr>
          <w:rFonts w:hint="eastAsia" w:ascii="宋体" w:hAnsi="宋体"/>
          <w:color w:val="000000"/>
          <w:sz w:val="28"/>
          <w:szCs w:val="28"/>
          <w:highlight w:val="none"/>
        </w:rPr>
        <w:t>二、工作内容</w:t>
      </w:r>
      <w:bookmarkEnd w:id="46"/>
      <w:bookmarkEnd w:id="47"/>
    </w:p>
    <w:p>
      <w:pPr>
        <w:pStyle w:val="2"/>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highlight w:val="none"/>
        </w:rPr>
      </w:pPr>
      <w:bookmarkStart w:id="48" w:name="_Toc12789058"/>
      <w:r>
        <w:rPr>
          <w:rFonts w:hint="eastAsia" w:asciiTheme="minorEastAsia" w:hAnsiTheme="minorEastAsia" w:eastAsiaTheme="minorEastAsia" w:cstheme="minorEastAsia"/>
          <w:color w:val="000000"/>
          <w:sz w:val="28"/>
          <w:szCs w:val="28"/>
          <w:highlight w:val="none"/>
        </w:rPr>
        <w:t>项目对接。根据采购方要求的建设时间及内容，了解该项目的实际情况，梳理项目功能点，明确建设方案交付时间。</w:t>
      </w:r>
    </w:p>
    <w:p>
      <w:pPr>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ascii="宋体" w:hAnsi="宋体"/>
          <w:color w:val="000000"/>
          <w:szCs w:val="28"/>
          <w:highlight w:val="none"/>
        </w:rPr>
      </w:pPr>
      <w:r>
        <w:rPr>
          <w:rFonts w:hint="eastAsia" w:ascii="宋体" w:hAnsi="宋体"/>
          <w:color w:val="000000"/>
          <w:szCs w:val="28"/>
          <w:highlight w:val="none"/>
        </w:rPr>
        <w:t>制定项目建设方案。竞选人需根据采购方要求，拟定总体建设方案，主要包括资源共享、平台服务、产业孵化等方面的方案稿件、方案说明，待与采购方对接确定后，最终交付方案定稿。</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color w:val="000000"/>
          <w:szCs w:val="28"/>
          <w:highlight w:val="none"/>
        </w:rPr>
      </w:pPr>
      <w:r>
        <w:rPr>
          <w:rFonts w:hint="eastAsia" w:ascii="宋体" w:hAnsi="宋体"/>
          <w:color w:val="000000"/>
          <w:szCs w:val="28"/>
          <w:highlight w:val="none"/>
        </w:rPr>
        <w:t>（三）设计定稿。竞选人按照方案要求，对平台进行UI设计，设计包含PC端与移动端，设计完成后与采购方对接人进行确认，并最终交付设计方案定稿。</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color w:val="000000"/>
          <w:szCs w:val="28"/>
          <w:highlight w:val="none"/>
        </w:rPr>
      </w:pPr>
      <w:r>
        <w:rPr>
          <w:rFonts w:hint="eastAsia" w:ascii="宋体" w:hAnsi="宋体"/>
          <w:color w:val="000000"/>
          <w:szCs w:val="28"/>
          <w:highlight w:val="none"/>
        </w:rPr>
        <w:t>（四）方案实施。竞选人根据确定的方案按照方案中约定的时间周期进行平台建设工作，并按时完成开发工作。</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color w:val="000000"/>
          <w:szCs w:val="28"/>
          <w:highlight w:val="none"/>
        </w:rPr>
      </w:pPr>
      <w:r>
        <w:rPr>
          <w:rFonts w:hint="eastAsia" w:ascii="宋体" w:hAnsi="宋体"/>
          <w:color w:val="000000"/>
          <w:szCs w:val="28"/>
          <w:highlight w:val="none"/>
        </w:rPr>
        <w:t>（五）联合验收。竞选人在约定时间内完成平台建设并提交采购方进行验收工作，验收确认后完成正式上线。</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color w:val="000000"/>
          <w:szCs w:val="28"/>
          <w:highlight w:val="none"/>
        </w:rPr>
      </w:pPr>
      <w:r>
        <w:rPr>
          <w:rFonts w:hint="eastAsia" w:ascii="宋体" w:hAnsi="宋体"/>
          <w:color w:val="000000"/>
          <w:szCs w:val="28"/>
          <w:highlight w:val="none"/>
        </w:rPr>
        <w:t>（六）平台运营及维护。运营时间内，竞选人应进行平台的基本运营及维护工作，保证平台业务流程正常。</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color w:val="000000"/>
          <w:szCs w:val="28"/>
          <w:highlight w:val="none"/>
        </w:rPr>
      </w:pPr>
      <w:r>
        <w:rPr>
          <w:rFonts w:hint="eastAsia" w:ascii="宋体" w:hAnsi="宋体"/>
          <w:color w:val="000000"/>
          <w:szCs w:val="28"/>
          <w:highlight w:val="none"/>
        </w:rPr>
        <w:t>（七）完成比选人交办的其他相关服务工作，其他相关事项在采购合同中进一步明确。</w:t>
      </w:r>
    </w:p>
    <w:p>
      <w:pPr>
        <w:pStyle w:val="2"/>
        <w:rPr>
          <w:highlight w:val="none"/>
        </w:rPr>
      </w:pPr>
    </w:p>
    <w:p>
      <w:pPr>
        <w:pStyle w:val="3"/>
        <w:rPr>
          <w:highlight w:val="none"/>
        </w:rPr>
      </w:pPr>
    </w:p>
    <w:p>
      <w:pPr>
        <w:pStyle w:val="3"/>
        <w:ind w:left="0"/>
        <w:jc w:val="both"/>
        <w:rPr>
          <w:highlight w:val="none"/>
        </w:rPr>
      </w:pPr>
    </w:p>
    <w:p>
      <w:pPr>
        <w:spacing w:line="360" w:lineRule="auto"/>
        <w:jc w:val="center"/>
        <w:outlineLvl w:val="1"/>
        <w:rPr>
          <w:rStyle w:val="226"/>
          <w:highlight w:val="none"/>
        </w:rPr>
      </w:pPr>
      <w:r>
        <w:rPr>
          <w:rFonts w:ascii="宋体" w:hAnsi="宋体"/>
          <w:color w:val="000000"/>
          <w:sz w:val="36"/>
          <w:szCs w:val="36"/>
          <w:highlight w:val="none"/>
          <w:u w:val="single"/>
        </w:rPr>
        <w:br w:type="page"/>
      </w:r>
      <w:bookmarkStart w:id="49" w:name="_Toc25068"/>
      <w:bookmarkStart w:id="50" w:name="_Toc20614"/>
      <w:r>
        <w:rPr>
          <w:rStyle w:val="226"/>
          <w:rFonts w:hint="eastAsia"/>
          <w:highlight w:val="none"/>
        </w:rPr>
        <w:t>第三篇  项目商务</w:t>
      </w:r>
      <w:bookmarkEnd w:id="48"/>
      <w:r>
        <w:rPr>
          <w:rStyle w:val="226"/>
          <w:rFonts w:hint="eastAsia"/>
          <w:highlight w:val="none"/>
        </w:rPr>
        <w:t>要求</w:t>
      </w:r>
      <w:bookmarkEnd w:id="49"/>
    </w:p>
    <w:bookmarkEnd w:id="50"/>
    <w:p>
      <w:pPr>
        <w:pStyle w:val="129"/>
        <w:ind w:left="0" w:leftChars="0" w:firstLine="632"/>
        <w:rPr>
          <w:rFonts w:ascii="宋体" w:hAnsi="宋体"/>
          <w:szCs w:val="28"/>
          <w:highlight w:val="none"/>
        </w:rPr>
      </w:pPr>
      <w:r>
        <w:rPr>
          <w:rFonts w:hint="eastAsia"/>
          <w:b/>
          <w:sz w:val="28"/>
          <w:szCs w:val="28"/>
          <w:highlight w:val="none"/>
        </w:rPr>
        <w:t>备注：★标注条款为实质性要求，作为符合性评审标准，不符合的按无效响应处理。</w:t>
      </w:r>
      <w:bookmarkStart w:id="51" w:name="_Toc11641055"/>
      <w:bookmarkStart w:id="52" w:name="_Toc12789059"/>
    </w:p>
    <w:p>
      <w:pPr>
        <w:pStyle w:val="6"/>
        <w:spacing w:before="0" w:after="0" w:line="360" w:lineRule="auto"/>
        <w:rPr>
          <w:bCs/>
          <w:sz w:val="28"/>
          <w:szCs w:val="28"/>
          <w:highlight w:val="none"/>
          <w:lang w:val="zh-CN"/>
        </w:rPr>
      </w:pPr>
      <w:bookmarkStart w:id="53" w:name="_Toc1046"/>
      <w:bookmarkStart w:id="54" w:name="_Toc51154114"/>
      <w:bookmarkStart w:id="55" w:name="_Toc267320049"/>
      <w:bookmarkStart w:id="56" w:name="_Toc28284"/>
      <w:r>
        <w:rPr>
          <w:rFonts w:hint="eastAsia"/>
          <w:sz w:val="28"/>
          <w:szCs w:val="28"/>
          <w:highlight w:val="none"/>
        </w:rPr>
        <w:t>★</w:t>
      </w:r>
      <w:r>
        <w:rPr>
          <w:rFonts w:hint="eastAsia"/>
          <w:bCs/>
          <w:sz w:val="28"/>
          <w:szCs w:val="28"/>
          <w:highlight w:val="none"/>
          <w:lang w:val="zh-CN"/>
        </w:rPr>
        <w:t>一、服务期、服务地点及验收方式</w:t>
      </w:r>
      <w:bookmarkEnd w:id="53"/>
      <w:bookmarkEnd w:id="54"/>
      <w:bookmarkEnd w:id="55"/>
      <w:bookmarkEnd w:id="56"/>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（一）服务期限：</w:t>
      </w:r>
      <w:r>
        <w:rPr>
          <w:rFonts w:ascii="宋体" w:hAnsi="宋体"/>
          <w:color w:val="000000"/>
          <w:szCs w:val="28"/>
          <w:highlight w:val="none"/>
        </w:rPr>
        <w:t>2022</w:t>
      </w:r>
      <w:r>
        <w:rPr>
          <w:rFonts w:hint="eastAsia" w:ascii="宋体" w:hAnsi="宋体"/>
          <w:color w:val="000000"/>
          <w:szCs w:val="28"/>
          <w:highlight w:val="none"/>
        </w:rPr>
        <w:t>年1</w:t>
      </w:r>
      <w:r>
        <w:rPr>
          <w:rFonts w:ascii="宋体" w:hAnsi="宋体"/>
          <w:color w:val="000000"/>
          <w:szCs w:val="28"/>
          <w:highlight w:val="none"/>
        </w:rPr>
        <w:t>0</w:t>
      </w:r>
      <w:r>
        <w:rPr>
          <w:rFonts w:hint="eastAsia" w:ascii="宋体" w:hAnsi="宋体"/>
          <w:color w:val="000000"/>
          <w:szCs w:val="28"/>
          <w:highlight w:val="none"/>
        </w:rPr>
        <w:t>月3</w:t>
      </w:r>
      <w:r>
        <w:rPr>
          <w:rFonts w:ascii="宋体" w:hAnsi="宋体"/>
          <w:color w:val="000000"/>
          <w:szCs w:val="28"/>
          <w:highlight w:val="none"/>
        </w:rPr>
        <w:t>1</w:t>
      </w:r>
      <w:r>
        <w:rPr>
          <w:rFonts w:hint="eastAsia" w:ascii="宋体" w:hAnsi="宋体"/>
          <w:color w:val="000000"/>
          <w:szCs w:val="28"/>
          <w:highlight w:val="none"/>
        </w:rPr>
        <w:t>日前完成所有工作并通过验收。</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（二）服务地点：比选人指定或同意地点。</w:t>
      </w:r>
    </w:p>
    <w:p>
      <w:pPr>
        <w:spacing w:line="360" w:lineRule="auto"/>
        <w:ind w:firstLine="560" w:firstLineChars="200"/>
        <w:rPr>
          <w:rFonts w:ascii="宋体" w:hAnsi="宋体"/>
          <w:color w:val="000000"/>
          <w:szCs w:val="28"/>
          <w:highlight w:val="none"/>
        </w:rPr>
      </w:pPr>
      <w:bookmarkStart w:id="57" w:name="_Toc27387"/>
      <w:r>
        <w:rPr>
          <w:rFonts w:hint="eastAsia" w:ascii="宋体" w:hAnsi="宋体"/>
          <w:color w:val="000000"/>
          <w:szCs w:val="28"/>
          <w:highlight w:val="none"/>
        </w:rPr>
        <w:t>（三）验收方式：</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1.验收组织单位：重庆市制造业人才服务中心。</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2.验收标准：中选单位完成所有工作后提请验收，比选人在7个工作日内按照国家及行业相关标准、竞争性比选文件规定对中选单位完成情况进行验收。如验收达不到相关规定要求的，中选单位应立即进行整改，整改后仍不合格的，则视为验收不合格，比选人有权立即终止合同。由此对比选人造成一定的损失，中选单位应承担一切责任，并赔偿所造成的损失。</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3.验收所产生的一切费用由中选单位承担。</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4.若有需要，中选单位应配合比选人完成项目审计。</w:t>
      </w:r>
      <w:bookmarkEnd w:id="57"/>
    </w:p>
    <w:p>
      <w:pPr>
        <w:pStyle w:val="6"/>
        <w:spacing w:before="0" w:after="0" w:line="360" w:lineRule="auto"/>
        <w:rPr>
          <w:bCs/>
          <w:sz w:val="28"/>
          <w:szCs w:val="28"/>
          <w:highlight w:val="none"/>
          <w:lang w:val="zh-CN"/>
        </w:rPr>
      </w:pPr>
      <w:bookmarkStart w:id="58" w:name="_Toc51154115"/>
      <w:bookmarkStart w:id="59" w:name="_Toc2112"/>
      <w:bookmarkStart w:id="60" w:name="_Toc32513"/>
      <w:bookmarkStart w:id="61" w:name="_Toc267320050"/>
      <w:r>
        <w:rPr>
          <w:rFonts w:hint="eastAsia"/>
          <w:sz w:val="28"/>
          <w:szCs w:val="28"/>
          <w:highlight w:val="none"/>
        </w:rPr>
        <w:t>★</w:t>
      </w:r>
      <w:r>
        <w:rPr>
          <w:rFonts w:hint="eastAsia"/>
          <w:bCs/>
          <w:sz w:val="28"/>
          <w:szCs w:val="28"/>
          <w:highlight w:val="none"/>
          <w:lang w:val="zh-CN"/>
        </w:rPr>
        <w:t>二、报价要求</w:t>
      </w:r>
      <w:bookmarkEnd w:id="58"/>
      <w:bookmarkEnd w:id="59"/>
      <w:bookmarkEnd w:id="60"/>
    </w:p>
    <w:bookmarkEnd w:id="61"/>
    <w:p>
      <w:pPr>
        <w:spacing w:line="360" w:lineRule="auto"/>
        <w:ind w:firstLine="560" w:firstLineChars="200"/>
        <w:rPr>
          <w:rFonts w:ascii="宋体" w:hAnsi="宋体"/>
          <w:color w:val="000000"/>
          <w:szCs w:val="28"/>
          <w:highlight w:val="none"/>
        </w:rPr>
      </w:pPr>
      <w:bookmarkStart w:id="62" w:name="_Toc493506292"/>
      <w:bookmarkStart w:id="63" w:name="_Toc509322423"/>
      <w:bookmarkStart w:id="64" w:name="_Toc6578"/>
      <w:r>
        <w:rPr>
          <w:rFonts w:hint="eastAsia" w:ascii="宋体" w:hAnsi="宋体"/>
          <w:color w:val="000000"/>
          <w:szCs w:val="28"/>
          <w:highlight w:val="none"/>
        </w:rPr>
        <w:t>竞选人的报价应包括完成项目的全部费用。按照甲方项目服务需求，竞选人服务内容包括但不限于调研费用、咨询费用、软件开发服务费用、差旅费、培训费、质保费、运维费、管理费、利润、疫情防控费、税费、中选后支付给比选代理机构的代理服务费及其它与本项目相关的一切费用，比选人除此以外不支付其它费用。因竞选人自身原因造成漏报、少报皆由其自行承担责任，比选人不再补偿。</w:t>
      </w:r>
      <w:bookmarkEnd w:id="62"/>
      <w:bookmarkEnd w:id="63"/>
      <w:bookmarkEnd w:id="64"/>
    </w:p>
    <w:p>
      <w:pPr>
        <w:spacing w:line="360" w:lineRule="auto"/>
        <w:ind w:firstLine="560" w:firstLineChars="200"/>
        <w:outlineLvl w:val="2"/>
        <w:rPr>
          <w:rFonts w:ascii="宋体" w:hAnsi="宋体"/>
          <w:szCs w:val="28"/>
          <w:highlight w:val="none"/>
        </w:rPr>
      </w:pPr>
      <w:bookmarkStart w:id="65" w:name="_Toc13382"/>
      <w:r>
        <w:rPr>
          <w:rFonts w:hint="eastAsia"/>
          <w:szCs w:val="28"/>
          <w:highlight w:val="none"/>
        </w:rPr>
        <w:t>★</w:t>
      </w:r>
      <w:r>
        <w:rPr>
          <w:rFonts w:hint="eastAsia" w:ascii="宋体" w:hAnsi="宋体"/>
          <w:color w:val="000000"/>
          <w:szCs w:val="28"/>
          <w:highlight w:val="none"/>
        </w:rPr>
        <w:t>三、</w:t>
      </w:r>
      <w:bookmarkStart w:id="66" w:name="_Toc344475122"/>
      <w:r>
        <w:rPr>
          <w:rFonts w:hint="eastAsia" w:ascii="宋体" w:hAnsi="宋体"/>
          <w:szCs w:val="28"/>
          <w:highlight w:val="none"/>
        </w:rPr>
        <w:t>付款方式</w:t>
      </w:r>
      <w:bookmarkEnd w:id="65"/>
      <w:bookmarkEnd w:id="66"/>
      <w:bookmarkStart w:id="67" w:name="_Toc17513"/>
      <w:bookmarkStart w:id="68" w:name="_Toc344475123"/>
    </w:p>
    <w:p>
      <w:pPr>
        <w:spacing w:line="360" w:lineRule="auto"/>
        <w:ind w:firstLine="560" w:firstLineChars="200"/>
        <w:rPr>
          <w:rFonts w:ascii="宋体" w:hAnsi="宋体"/>
          <w:szCs w:val="28"/>
          <w:highlight w:val="none"/>
        </w:rPr>
      </w:pPr>
      <w:r>
        <w:rPr>
          <w:rFonts w:hint="eastAsia" w:ascii="宋体" w:hAnsi="宋体"/>
          <w:szCs w:val="28"/>
          <w:highlight w:val="none"/>
        </w:rPr>
        <w:t>中选单位同比选人签订合同后，完成所有工作内容、提交项目成果资料（包括但不限于设计方案、报价表、图片资料、影像资料等）并通过比选人验收，同时提交履约合同、足额发票、资金支付申请表等材料，比选人完成资金支付审批流程后5个工作日内向中选单位一次性支付所有合同金额。</w:t>
      </w:r>
      <w:bookmarkEnd w:id="67"/>
    </w:p>
    <w:p>
      <w:pPr>
        <w:pStyle w:val="6"/>
        <w:spacing w:before="0" w:after="0" w:line="360" w:lineRule="auto"/>
        <w:rPr>
          <w:sz w:val="28"/>
          <w:szCs w:val="28"/>
          <w:highlight w:val="none"/>
        </w:rPr>
      </w:pPr>
      <w:bookmarkStart w:id="69" w:name="_Toc28582"/>
      <w:bookmarkStart w:id="70" w:name="_Toc936"/>
      <w:r>
        <w:rPr>
          <w:rFonts w:hint="eastAsia"/>
          <w:sz w:val="28"/>
          <w:szCs w:val="28"/>
          <w:highlight w:val="none"/>
        </w:rPr>
        <w:t>★四、</w:t>
      </w:r>
      <w:bookmarkStart w:id="71" w:name="_Toc78194443"/>
      <w:bookmarkStart w:id="72" w:name="_Toc106893666"/>
      <w:bookmarkStart w:id="73" w:name="_Toc28867"/>
      <w:r>
        <w:rPr>
          <w:rFonts w:hint="eastAsia"/>
          <w:sz w:val="28"/>
          <w:szCs w:val="28"/>
          <w:highlight w:val="none"/>
        </w:rPr>
        <w:t>违约条款</w:t>
      </w:r>
      <w:bookmarkEnd w:id="69"/>
      <w:bookmarkEnd w:id="70"/>
      <w:bookmarkEnd w:id="71"/>
      <w:bookmarkEnd w:id="72"/>
      <w:bookmarkEnd w:id="73"/>
    </w:p>
    <w:p>
      <w:pPr>
        <w:keepNext/>
        <w:keepLines/>
        <w:spacing w:line="360" w:lineRule="auto"/>
        <w:ind w:firstLine="560" w:firstLineChars="200"/>
        <w:rPr>
          <w:rFonts w:ascii="宋体" w:hAnsi="宋体"/>
          <w:szCs w:val="28"/>
          <w:highlight w:val="none"/>
        </w:rPr>
      </w:pPr>
      <w:r>
        <w:rPr>
          <w:rFonts w:hint="eastAsia" w:ascii="宋体" w:hAnsi="宋体"/>
          <w:szCs w:val="28"/>
          <w:highlight w:val="none"/>
        </w:rPr>
        <w:t>（一）若中选单位未在比选人要求的时间内完成本项目的，每延后1天中选单位应向比选人支付合同金额3%的违约金；延后时间超过10天的，比选人有权终止合同，不支付合同款并追究中选单位相关法律责任。</w:t>
      </w:r>
    </w:p>
    <w:p>
      <w:pPr>
        <w:keepNext/>
        <w:keepLines/>
        <w:spacing w:line="360" w:lineRule="auto"/>
        <w:ind w:firstLine="560" w:firstLineChars="200"/>
        <w:rPr>
          <w:rFonts w:ascii="宋体" w:hAnsi="宋体"/>
          <w:szCs w:val="28"/>
          <w:highlight w:val="none"/>
        </w:rPr>
      </w:pPr>
      <w:r>
        <w:rPr>
          <w:rFonts w:hint="eastAsia" w:ascii="宋体" w:hAnsi="宋体"/>
          <w:szCs w:val="28"/>
          <w:highlight w:val="none"/>
        </w:rPr>
        <w:t>（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p>
    <w:p>
      <w:pPr>
        <w:pStyle w:val="6"/>
        <w:spacing w:before="0" w:after="0" w:line="360" w:lineRule="auto"/>
        <w:rPr>
          <w:sz w:val="28"/>
          <w:szCs w:val="28"/>
          <w:highlight w:val="none"/>
        </w:rPr>
      </w:pPr>
      <w:bookmarkStart w:id="74" w:name="_Toc11384"/>
      <w:bookmarkStart w:id="75" w:name="_Toc7392"/>
      <w:r>
        <w:rPr>
          <w:rFonts w:hint="eastAsia"/>
          <w:sz w:val="28"/>
          <w:szCs w:val="28"/>
          <w:highlight w:val="none"/>
        </w:rPr>
        <w:t>★五、不可抗力</w:t>
      </w:r>
      <w:bookmarkEnd w:id="74"/>
      <w:bookmarkEnd w:id="75"/>
    </w:p>
    <w:p>
      <w:pPr>
        <w:keepNext/>
        <w:keepLines/>
        <w:spacing w:line="360" w:lineRule="auto"/>
        <w:ind w:firstLine="560" w:firstLineChars="200"/>
        <w:rPr>
          <w:rFonts w:ascii="宋体" w:hAnsi="宋体"/>
          <w:szCs w:val="28"/>
          <w:highlight w:val="none"/>
        </w:rPr>
      </w:pPr>
      <w:r>
        <w:rPr>
          <w:rFonts w:hint="eastAsia" w:ascii="宋体" w:hAnsi="宋体"/>
          <w:szCs w:val="28"/>
          <w:highlight w:val="none"/>
        </w:rPr>
        <w:t>因新冠肺炎疫情、相关政策调整等不可抗力原因致使本项目取消的，或因客观原因致使合同无法订立或订立后因无法履行而解除的，比选人不承担任何责任（竞选人提供承诺函原件，详见“第七篇 竞选文件编制要求”所附格式文件。）</w:t>
      </w:r>
    </w:p>
    <w:p>
      <w:pPr>
        <w:pStyle w:val="6"/>
        <w:spacing w:before="0" w:after="0" w:line="360" w:lineRule="auto"/>
        <w:rPr>
          <w:sz w:val="28"/>
          <w:szCs w:val="28"/>
          <w:highlight w:val="none"/>
        </w:rPr>
      </w:pPr>
      <w:bookmarkStart w:id="76" w:name="_Toc28901"/>
      <w:bookmarkStart w:id="77" w:name="_Toc31821"/>
      <w:r>
        <w:rPr>
          <w:rFonts w:hint="eastAsia"/>
          <w:sz w:val="28"/>
          <w:szCs w:val="28"/>
          <w:highlight w:val="none"/>
        </w:rPr>
        <w:t>★六、知识产权</w:t>
      </w:r>
      <w:bookmarkEnd w:id="76"/>
      <w:bookmarkEnd w:id="77"/>
    </w:p>
    <w:p>
      <w:pPr>
        <w:spacing w:line="360" w:lineRule="auto"/>
        <w:ind w:firstLine="560" w:firstLineChars="200"/>
        <w:rPr>
          <w:rFonts w:ascii="宋体" w:hAnsi="宋体"/>
          <w:szCs w:val="28"/>
          <w:highlight w:val="none"/>
        </w:rPr>
      </w:pPr>
      <w:r>
        <w:rPr>
          <w:rFonts w:hint="eastAsia" w:ascii="宋体" w:hAnsi="宋体"/>
          <w:szCs w:val="28"/>
          <w:highlight w:val="none"/>
        </w:rPr>
        <w:t>(一)比选人在中华人民共和国境内使用中选人提供的货物或服务时免受第三方提出的侵犯其专利权或其它知识产权的起诉。如果第三方提出侵权指控，中选人应承担由此而引起的一切法律责任和费用。</w:t>
      </w:r>
    </w:p>
    <w:p>
      <w:pPr>
        <w:spacing w:line="360" w:lineRule="auto"/>
        <w:ind w:firstLine="498" w:firstLineChars="178"/>
        <w:rPr>
          <w:rFonts w:ascii="宋体" w:hAnsi="宋体"/>
          <w:szCs w:val="28"/>
          <w:highlight w:val="none"/>
        </w:rPr>
      </w:pPr>
      <w:r>
        <w:rPr>
          <w:rFonts w:hint="eastAsia" w:ascii="宋体" w:hAnsi="宋体"/>
          <w:szCs w:val="28"/>
          <w:highlight w:val="none"/>
        </w:rPr>
        <w:t>（二）本项目知识产权归比选人所有，中选单位需配合比选人对本项目知识产权进行保护。</w:t>
      </w:r>
    </w:p>
    <w:bookmarkEnd w:id="68"/>
    <w:p>
      <w:pPr>
        <w:pStyle w:val="6"/>
        <w:spacing w:before="0" w:after="0" w:line="360" w:lineRule="auto"/>
        <w:rPr>
          <w:color w:val="000000"/>
          <w:sz w:val="28"/>
          <w:szCs w:val="28"/>
          <w:highlight w:val="none"/>
        </w:rPr>
      </w:pPr>
      <w:bookmarkStart w:id="78" w:name="_Toc30499"/>
      <w:bookmarkStart w:id="79" w:name="_Toc22840"/>
      <w:r>
        <w:rPr>
          <w:rFonts w:hint="eastAsia" w:ascii="宋体" w:hAnsi="宋体"/>
          <w:color w:val="000000"/>
          <w:sz w:val="28"/>
          <w:szCs w:val="28"/>
          <w:highlight w:val="none"/>
        </w:rPr>
        <w:t>七、</w:t>
      </w:r>
      <w:bookmarkStart w:id="80" w:name="_Toc344475125"/>
      <w:r>
        <w:rPr>
          <w:rFonts w:hint="eastAsia"/>
          <w:color w:val="000000"/>
          <w:sz w:val="28"/>
          <w:szCs w:val="28"/>
          <w:highlight w:val="none"/>
        </w:rPr>
        <w:t>其他</w:t>
      </w:r>
      <w:bookmarkEnd w:id="78"/>
      <w:bookmarkEnd w:id="79"/>
    </w:p>
    <w:bookmarkEnd w:id="80"/>
    <w:p>
      <w:pPr>
        <w:snapToGrid w:val="0"/>
        <w:spacing w:line="360" w:lineRule="auto"/>
        <w:ind w:firstLine="560" w:firstLineChars="200"/>
        <w:rPr>
          <w:color w:val="000000"/>
          <w:szCs w:val="28"/>
          <w:highlight w:val="none"/>
        </w:rPr>
      </w:pPr>
      <w:r>
        <w:rPr>
          <w:rFonts w:hint="eastAsia"/>
          <w:color w:val="000000"/>
          <w:szCs w:val="28"/>
          <w:highlight w:val="none"/>
        </w:rPr>
        <w:t>（一）竞选人必须在竞选文件中对以上条款和服务承诺明确列出，承诺内容必须达到本篇及比选文件其他条款的要求。</w:t>
      </w:r>
    </w:p>
    <w:p>
      <w:pPr>
        <w:snapToGrid w:val="0"/>
        <w:spacing w:line="360" w:lineRule="auto"/>
        <w:ind w:firstLine="560" w:firstLineChars="200"/>
        <w:rPr>
          <w:color w:val="000000"/>
          <w:szCs w:val="28"/>
          <w:highlight w:val="none"/>
        </w:rPr>
      </w:pPr>
      <w:r>
        <w:rPr>
          <w:rFonts w:hint="eastAsia"/>
          <w:color w:val="000000"/>
          <w:szCs w:val="28"/>
          <w:highlight w:val="none"/>
        </w:rPr>
        <w:t>（二）其他未尽事宜由供需双方在采购合同中详细约定。</w:t>
      </w:r>
    </w:p>
    <w:p>
      <w:pPr>
        <w:pStyle w:val="5"/>
        <w:spacing w:line="360" w:lineRule="auto"/>
        <w:jc w:val="center"/>
        <w:rPr>
          <w:rFonts w:ascii="宋体" w:hAnsi="宋体" w:eastAsia="宋体"/>
          <w:color w:val="000000"/>
          <w:sz w:val="36"/>
          <w:szCs w:val="36"/>
          <w:highlight w:val="none"/>
        </w:rPr>
      </w:pPr>
      <w:r>
        <w:rPr>
          <w:rFonts w:ascii="宋体" w:hAnsi="宋体" w:eastAsia="宋体"/>
          <w:b w:val="0"/>
          <w:color w:val="FF0000"/>
          <w:sz w:val="21"/>
          <w:szCs w:val="21"/>
          <w:highlight w:val="none"/>
        </w:rPr>
        <w:br w:type="page"/>
      </w:r>
      <w:bookmarkStart w:id="81" w:name="_Toc23880"/>
      <w:bookmarkStart w:id="82" w:name="_Toc7056"/>
      <w:r>
        <w:rPr>
          <w:rFonts w:hint="eastAsia" w:ascii="宋体" w:hAnsi="宋体" w:eastAsia="宋体"/>
          <w:color w:val="000000"/>
          <w:sz w:val="36"/>
          <w:szCs w:val="36"/>
          <w:highlight w:val="none"/>
        </w:rPr>
        <w:t xml:space="preserve">第四篇  </w:t>
      </w:r>
      <w:bookmarkEnd w:id="51"/>
      <w:bookmarkEnd w:id="52"/>
      <w:r>
        <w:rPr>
          <w:rFonts w:hint="eastAsia" w:ascii="宋体" w:hAnsi="宋体" w:eastAsia="宋体"/>
          <w:color w:val="000000"/>
          <w:sz w:val="36"/>
          <w:szCs w:val="36"/>
          <w:highlight w:val="none"/>
        </w:rPr>
        <w:t>比选程序及方法、评审标准等</w:t>
      </w:r>
      <w:bookmarkEnd w:id="81"/>
      <w:bookmarkEnd w:id="82"/>
    </w:p>
    <w:p>
      <w:pPr>
        <w:pStyle w:val="6"/>
        <w:spacing w:before="0" w:after="0" w:line="480" w:lineRule="exact"/>
        <w:rPr>
          <w:rFonts w:ascii="宋体" w:hAnsi="宋体"/>
          <w:color w:val="000000"/>
          <w:sz w:val="28"/>
          <w:szCs w:val="28"/>
          <w:highlight w:val="none"/>
        </w:rPr>
      </w:pPr>
      <w:bookmarkStart w:id="83" w:name="_Toc9711"/>
      <w:bookmarkStart w:id="84" w:name="_Toc10547"/>
      <w:r>
        <w:rPr>
          <w:rFonts w:hint="eastAsia" w:ascii="宋体" w:hAnsi="宋体"/>
          <w:color w:val="000000"/>
          <w:sz w:val="28"/>
          <w:szCs w:val="28"/>
          <w:highlight w:val="none"/>
        </w:rPr>
        <w:t>一、比选程序及方法</w:t>
      </w:r>
      <w:bookmarkEnd w:id="83"/>
      <w:bookmarkEnd w:id="84"/>
    </w:p>
    <w:p>
      <w:pPr>
        <w:spacing w:line="480" w:lineRule="exact"/>
        <w:ind w:firstLine="560" w:firstLineChars="200"/>
        <w:rPr>
          <w:rFonts w:ascii="宋体" w:hAnsi="宋体"/>
          <w:color w:val="000000"/>
          <w:szCs w:val="28"/>
          <w:highlight w:val="none"/>
        </w:rPr>
      </w:pPr>
      <w:r>
        <w:rPr>
          <w:rFonts w:hint="eastAsia" w:ascii="宋体" w:hAnsi="宋体"/>
          <w:color w:val="000000"/>
          <w:szCs w:val="28"/>
          <w:highlight w:val="none"/>
        </w:rPr>
        <w:t>（一）比选按竞争性比选文件规定的时间和地点进行，竞选人须有法定代表人或其授权代表参加并签到。</w:t>
      </w:r>
    </w:p>
    <w:p>
      <w:pPr>
        <w:spacing w:line="480" w:lineRule="exact"/>
        <w:ind w:firstLine="560" w:firstLineChars="200"/>
        <w:rPr>
          <w:rFonts w:ascii="宋体" w:hAnsi="宋体"/>
          <w:color w:val="000000"/>
          <w:szCs w:val="28"/>
          <w:highlight w:val="none"/>
        </w:rPr>
      </w:pPr>
      <w:r>
        <w:rPr>
          <w:rFonts w:hint="eastAsia" w:ascii="宋体" w:hAnsi="宋体"/>
          <w:color w:val="000000"/>
          <w:szCs w:val="28"/>
          <w:highlight w:val="none"/>
        </w:rPr>
        <w:t>（二）比选小组对各竞选人的资格条件、竞选文件的有效性、完整性和响应程度进行审查。各竞选人只有在完全符合要求的前提下，才能参与正式比选。</w:t>
      </w:r>
    </w:p>
    <w:p>
      <w:pPr>
        <w:snapToGrid w:val="0"/>
        <w:spacing w:line="480" w:lineRule="exact"/>
        <w:ind w:firstLine="560" w:firstLineChars="200"/>
        <w:rPr>
          <w:rFonts w:ascii="宋体" w:hAnsi="宋体"/>
          <w:color w:val="000000"/>
          <w:szCs w:val="28"/>
          <w:highlight w:val="none"/>
        </w:rPr>
      </w:pPr>
      <w:r>
        <w:rPr>
          <w:rFonts w:hint="eastAsia" w:ascii="宋体" w:hAnsi="宋体"/>
          <w:color w:val="000000"/>
          <w:szCs w:val="28"/>
          <w:highlight w:val="none"/>
        </w:rPr>
        <w:t>1．资格性检查。依据法律法规和竞争性比选文件的规定，对竞选文件中的资格证明、比选保证金等进行审查，以确定竞选人是否具备比选资格。资格性检查资料表如下：</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767"/>
        <w:gridCol w:w="3836"/>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50" w:type="pct"/>
            <w:vAlign w:val="center"/>
          </w:tcPr>
          <w:p>
            <w:pPr>
              <w:jc w:val="center"/>
              <w:rPr>
                <w:rFonts w:ascii="宋体" w:hAnsi="宋体"/>
                <w:b/>
                <w:sz w:val="24"/>
                <w:szCs w:val="24"/>
                <w:highlight w:val="none"/>
              </w:rPr>
            </w:pPr>
            <w:r>
              <w:rPr>
                <w:rFonts w:hint="eastAsia" w:ascii="宋体" w:hAnsi="宋体"/>
                <w:b/>
                <w:sz w:val="24"/>
                <w:szCs w:val="24"/>
                <w:highlight w:val="none"/>
              </w:rPr>
              <w:t>序号</w:t>
            </w:r>
          </w:p>
        </w:tc>
        <w:tc>
          <w:tcPr>
            <w:tcW w:w="2208" w:type="pct"/>
            <w:gridSpan w:val="2"/>
            <w:vAlign w:val="center"/>
          </w:tcPr>
          <w:p>
            <w:pPr>
              <w:jc w:val="center"/>
              <w:rPr>
                <w:rFonts w:ascii="宋体" w:hAnsi="宋体"/>
                <w:b/>
                <w:sz w:val="24"/>
                <w:szCs w:val="24"/>
                <w:highlight w:val="none"/>
              </w:rPr>
            </w:pPr>
            <w:r>
              <w:rPr>
                <w:rFonts w:hint="eastAsia" w:ascii="宋体" w:hAnsi="宋体"/>
                <w:b/>
                <w:sz w:val="24"/>
                <w:szCs w:val="24"/>
                <w:highlight w:val="none"/>
              </w:rPr>
              <w:t>检查因素</w:t>
            </w:r>
          </w:p>
        </w:tc>
        <w:tc>
          <w:tcPr>
            <w:tcW w:w="2440" w:type="pct"/>
            <w:vAlign w:val="center"/>
          </w:tcPr>
          <w:p>
            <w:pPr>
              <w:jc w:val="center"/>
              <w:rPr>
                <w:rFonts w:ascii="宋体" w:hAnsi="宋体"/>
                <w:b/>
                <w:sz w:val="24"/>
                <w:szCs w:val="24"/>
                <w:highlight w:val="none"/>
              </w:rPr>
            </w:pPr>
            <w:r>
              <w:rPr>
                <w:rFonts w:hint="eastAsia" w:ascii="宋体" w:hAnsi="宋体"/>
                <w:b/>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trPr>
        <w:tc>
          <w:tcPr>
            <w:tcW w:w="350" w:type="pct"/>
            <w:vMerge w:val="restart"/>
            <w:vAlign w:val="center"/>
          </w:tcPr>
          <w:p>
            <w:pPr>
              <w:jc w:val="center"/>
              <w:rPr>
                <w:rFonts w:ascii="宋体" w:hAnsi="宋体"/>
                <w:sz w:val="24"/>
                <w:szCs w:val="24"/>
                <w:highlight w:val="none"/>
              </w:rPr>
            </w:pPr>
            <w:r>
              <w:rPr>
                <w:rFonts w:hint="eastAsia" w:ascii="宋体" w:hAnsi="宋体"/>
                <w:sz w:val="24"/>
                <w:szCs w:val="24"/>
                <w:highlight w:val="none"/>
              </w:rPr>
              <w:t>1</w:t>
            </w:r>
          </w:p>
        </w:tc>
        <w:tc>
          <w:tcPr>
            <w:tcW w:w="368" w:type="pct"/>
            <w:vMerge w:val="restart"/>
            <w:vAlign w:val="center"/>
          </w:tcPr>
          <w:p>
            <w:pPr>
              <w:rPr>
                <w:rFonts w:ascii="宋体" w:hAnsi="宋体"/>
                <w:sz w:val="24"/>
                <w:szCs w:val="24"/>
                <w:highlight w:val="none"/>
              </w:rPr>
            </w:pPr>
            <w:r>
              <w:rPr>
                <w:rFonts w:hint="eastAsia" w:ascii="宋体" w:hAnsi="宋体"/>
                <w:sz w:val="24"/>
                <w:szCs w:val="24"/>
                <w:highlight w:val="none"/>
              </w:rPr>
              <w:t>基本资格条件</w:t>
            </w:r>
          </w:p>
        </w:tc>
        <w:tc>
          <w:tcPr>
            <w:tcW w:w="1840" w:type="pct"/>
            <w:vAlign w:val="center"/>
          </w:tcPr>
          <w:p>
            <w:pPr>
              <w:rPr>
                <w:rFonts w:ascii="宋体" w:hAnsi="宋体"/>
                <w:sz w:val="24"/>
                <w:szCs w:val="24"/>
                <w:highlight w:val="none"/>
              </w:rPr>
            </w:pPr>
            <w:r>
              <w:rPr>
                <w:rFonts w:hint="eastAsia" w:ascii="宋体" w:hAnsi="宋体"/>
                <w:sz w:val="24"/>
                <w:szCs w:val="24"/>
                <w:highlight w:val="none"/>
              </w:rPr>
              <w:t>1）具有独立承担民事责任的能力</w:t>
            </w:r>
          </w:p>
        </w:tc>
        <w:tc>
          <w:tcPr>
            <w:tcW w:w="2440" w:type="pct"/>
            <w:vAlign w:val="center"/>
          </w:tcPr>
          <w:p>
            <w:pPr>
              <w:rPr>
                <w:rFonts w:ascii="宋体" w:hAnsi="宋体"/>
                <w:sz w:val="24"/>
                <w:szCs w:val="24"/>
                <w:highlight w:val="none"/>
                <w:lang w:val="zh-CN"/>
              </w:rPr>
            </w:pPr>
            <w:r>
              <w:rPr>
                <w:rFonts w:hint="eastAsia" w:ascii="宋体" w:hAnsi="宋体"/>
                <w:sz w:val="24"/>
                <w:szCs w:val="24"/>
                <w:highlight w:val="none"/>
                <w:lang w:val="zh-CN"/>
              </w:rPr>
              <w:t>竞选人法人营业执照（副本）或事业单位法人证书（副本）或个体工商户营业执照或有效的自然人身份证明、组织机构代码证复印件（注</w:t>
            </w:r>
            <w:r>
              <w:rPr>
                <w:rFonts w:hint="eastAsia" w:ascii="宋体" w:hAnsi="宋体"/>
                <w:sz w:val="24"/>
                <w:szCs w:val="24"/>
                <w:highlight w:val="none"/>
                <w:lang w:val="zh-CN"/>
              </w:rPr>
              <w:fldChar w:fldCharType="begin"/>
            </w:r>
            <w:r>
              <w:rPr>
                <w:rFonts w:hint="eastAsia" w:ascii="宋体" w:hAnsi="宋体"/>
                <w:sz w:val="24"/>
                <w:szCs w:val="24"/>
                <w:highlight w:val="none"/>
                <w:lang w:val="zh-CN"/>
              </w:rPr>
              <w:instrText xml:space="preserve"> eq \o\ac(○,1)</w:instrText>
            </w:r>
            <w:r>
              <w:rPr>
                <w:rFonts w:hint="eastAsia" w:ascii="宋体" w:hAnsi="宋体"/>
                <w:sz w:val="24"/>
                <w:szCs w:val="24"/>
                <w:highlight w:val="none"/>
                <w:lang w:val="zh-CN"/>
              </w:rPr>
              <w:fldChar w:fldCharType="end"/>
            </w:r>
            <w:r>
              <w:rPr>
                <w:rFonts w:hint="eastAsia" w:ascii="宋体" w:hAnsi="宋体"/>
                <w:sz w:val="24"/>
                <w:szCs w:val="24"/>
                <w:highlight w:val="none"/>
                <w:lang w:val="zh-CN"/>
              </w:rPr>
              <w:t xml:space="preserve">）； </w:t>
            </w:r>
          </w:p>
          <w:p>
            <w:pPr>
              <w:rPr>
                <w:rFonts w:ascii="宋体" w:hAnsi="宋体"/>
                <w:sz w:val="24"/>
                <w:szCs w:val="24"/>
                <w:highlight w:val="none"/>
                <w:lang w:val="zh-CN"/>
              </w:rPr>
            </w:pPr>
            <w:r>
              <w:rPr>
                <w:rFonts w:hint="eastAsia" w:ascii="宋体" w:hAnsi="宋体"/>
                <w:sz w:val="24"/>
                <w:szCs w:val="24"/>
                <w:highlight w:val="none"/>
                <w:lang w:val="zh-CN"/>
              </w:rPr>
              <w:t>竞选人法定代表人身份证明和法定代表人授权代表委托书。</w:t>
            </w:r>
          </w:p>
          <w:p>
            <w:pPr>
              <w:rPr>
                <w:rFonts w:ascii="宋体" w:hAnsi="宋体"/>
                <w:sz w:val="24"/>
                <w:szCs w:val="24"/>
                <w:highlight w:val="none"/>
                <w:lang w:val="zh-CN"/>
              </w:rPr>
            </w:pPr>
            <w:r>
              <w:rPr>
                <w:rFonts w:hint="eastAsia" w:ascii="宋体" w:hAnsi="宋体"/>
                <w:b/>
                <w:bCs/>
                <w:sz w:val="24"/>
                <w:szCs w:val="24"/>
                <w:highlight w:val="none"/>
                <w:lang w:val="zh-CN"/>
              </w:rPr>
              <w:t>注：分公司或办事处等不具备独立法人资格的，不得参加本项目竞选。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50" w:type="pct"/>
            <w:vMerge w:val="continue"/>
            <w:vAlign w:val="center"/>
          </w:tcPr>
          <w:p>
            <w:pPr>
              <w:jc w:val="center"/>
              <w:rPr>
                <w:rFonts w:ascii="宋体" w:hAnsi="宋体"/>
                <w:sz w:val="24"/>
                <w:szCs w:val="24"/>
                <w:highlight w:val="none"/>
              </w:rPr>
            </w:pPr>
          </w:p>
        </w:tc>
        <w:tc>
          <w:tcPr>
            <w:tcW w:w="368" w:type="pct"/>
            <w:vMerge w:val="continue"/>
            <w:vAlign w:val="center"/>
          </w:tcPr>
          <w:p>
            <w:pPr>
              <w:rPr>
                <w:rFonts w:ascii="宋体" w:hAnsi="宋体"/>
                <w:sz w:val="24"/>
                <w:szCs w:val="24"/>
                <w:highlight w:val="none"/>
              </w:rPr>
            </w:pPr>
          </w:p>
        </w:tc>
        <w:tc>
          <w:tcPr>
            <w:tcW w:w="1840" w:type="pct"/>
            <w:vAlign w:val="center"/>
          </w:tcPr>
          <w:p>
            <w:pPr>
              <w:rPr>
                <w:rFonts w:ascii="宋体" w:hAnsi="宋体"/>
                <w:sz w:val="24"/>
                <w:szCs w:val="24"/>
                <w:highlight w:val="none"/>
              </w:rPr>
            </w:pPr>
            <w:r>
              <w:rPr>
                <w:rFonts w:hint="eastAsia" w:ascii="宋体" w:hAnsi="宋体"/>
                <w:sz w:val="24"/>
                <w:szCs w:val="24"/>
                <w:highlight w:val="none"/>
              </w:rPr>
              <w:t>2）具有良好的商业信誉和健全的财务会计制度</w:t>
            </w:r>
          </w:p>
        </w:tc>
        <w:tc>
          <w:tcPr>
            <w:tcW w:w="2440" w:type="pct"/>
            <w:vMerge w:val="restart"/>
            <w:vAlign w:val="center"/>
          </w:tcPr>
          <w:p>
            <w:pPr>
              <w:rPr>
                <w:rFonts w:ascii="宋体" w:hAnsi="宋体"/>
                <w:sz w:val="24"/>
                <w:szCs w:val="24"/>
                <w:highlight w:val="none"/>
                <w:lang w:val="zh-CN"/>
              </w:rPr>
            </w:pPr>
            <w:r>
              <w:rPr>
                <w:rFonts w:hint="eastAsia" w:ascii="宋体" w:hAnsi="宋体"/>
                <w:szCs w:val="28"/>
                <w:highlight w:val="none"/>
              </w:rPr>
              <w:t>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350" w:type="pct"/>
            <w:vMerge w:val="continue"/>
            <w:vAlign w:val="center"/>
          </w:tcPr>
          <w:p>
            <w:pPr>
              <w:jc w:val="center"/>
              <w:rPr>
                <w:rFonts w:ascii="宋体" w:hAnsi="宋体"/>
                <w:sz w:val="24"/>
                <w:szCs w:val="24"/>
                <w:highlight w:val="none"/>
              </w:rPr>
            </w:pPr>
          </w:p>
        </w:tc>
        <w:tc>
          <w:tcPr>
            <w:tcW w:w="368" w:type="pct"/>
            <w:vMerge w:val="continue"/>
            <w:vAlign w:val="center"/>
          </w:tcPr>
          <w:p>
            <w:pPr>
              <w:rPr>
                <w:rFonts w:ascii="宋体" w:hAnsi="宋体"/>
                <w:sz w:val="24"/>
                <w:szCs w:val="24"/>
                <w:highlight w:val="none"/>
              </w:rPr>
            </w:pPr>
          </w:p>
        </w:tc>
        <w:tc>
          <w:tcPr>
            <w:tcW w:w="1840" w:type="pct"/>
            <w:vAlign w:val="center"/>
          </w:tcPr>
          <w:p>
            <w:pPr>
              <w:rPr>
                <w:rFonts w:ascii="宋体" w:hAnsi="宋体"/>
                <w:sz w:val="24"/>
                <w:szCs w:val="24"/>
                <w:highlight w:val="none"/>
              </w:rPr>
            </w:pPr>
            <w:r>
              <w:rPr>
                <w:rFonts w:hint="eastAsia" w:ascii="宋体" w:hAnsi="宋体"/>
                <w:sz w:val="24"/>
                <w:szCs w:val="24"/>
                <w:highlight w:val="none"/>
              </w:rPr>
              <w:t>3）具有履行合同所必需的设备和专业技术能力</w:t>
            </w:r>
          </w:p>
        </w:tc>
        <w:tc>
          <w:tcPr>
            <w:tcW w:w="2440" w:type="pct"/>
            <w:vMerge w:val="continue"/>
            <w:vAlign w:val="center"/>
          </w:tcPr>
          <w:p>
            <w:pPr>
              <w:rPr>
                <w:rFonts w:ascii="宋体" w:hAnsi="宋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350" w:type="pct"/>
            <w:vMerge w:val="continue"/>
            <w:vAlign w:val="center"/>
          </w:tcPr>
          <w:p>
            <w:pPr>
              <w:jc w:val="center"/>
              <w:rPr>
                <w:rFonts w:ascii="宋体" w:hAnsi="宋体"/>
                <w:sz w:val="24"/>
                <w:szCs w:val="24"/>
                <w:highlight w:val="none"/>
              </w:rPr>
            </w:pPr>
          </w:p>
        </w:tc>
        <w:tc>
          <w:tcPr>
            <w:tcW w:w="368" w:type="pct"/>
            <w:vMerge w:val="continue"/>
            <w:vAlign w:val="center"/>
          </w:tcPr>
          <w:p>
            <w:pPr>
              <w:rPr>
                <w:rFonts w:ascii="宋体" w:hAnsi="宋体"/>
                <w:sz w:val="24"/>
                <w:szCs w:val="24"/>
                <w:highlight w:val="none"/>
              </w:rPr>
            </w:pPr>
          </w:p>
        </w:tc>
        <w:tc>
          <w:tcPr>
            <w:tcW w:w="1840" w:type="pct"/>
            <w:vAlign w:val="center"/>
          </w:tcPr>
          <w:p>
            <w:pPr>
              <w:rPr>
                <w:rFonts w:ascii="宋体" w:hAnsi="宋体"/>
                <w:sz w:val="24"/>
                <w:szCs w:val="24"/>
                <w:highlight w:val="none"/>
              </w:rPr>
            </w:pPr>
            <w:r>
              <w:rPr>
                <w:rFonts w:hint="eastAsia" w:ascii="宋体" w:hAnsi="宋体"/>
                <w:sz w:val="24"/>
                <w:szCs w:val="24"/>
                <w:highlight w:val="none"/>
              </w:rPr>
              <w:t>4）有依法缴纳税收和社会保障金的良好记录</w:t>
            </w:r>
          </w:p>
        </w:tc>
        <w:tc>
          <w:tcPr>
            <w:tcW w:w="2440" w:type="pct"/>
            <w:vMerge w:val="continue"/>
            <w:vAlign w:val="center"/>
          </w:tcPr>
          <w:p>
            <w:pP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50" w:type="pct"/>
            <w:vMerge w:val="continue"/>
            <w:vAlign w:val="center"/>
          </w:tcPr>
          <w:p>
            <w:pPr>
              <w:jc w:val="center"/>
              <w:rPr>
                <w:rFonts w:ascii="宋体" w:hAnsi="宋体"/>
                <w:sz w:val="24"/>
                <w:szCs w:val="24"/>
                <w:highlight w:val="none"/>
              </w:rPr>
            </w:pPr>
          </w:p>
        </w:tc>
        <w:tc>
          <w:tcPr>
            <w:tcW w:w="368" w:type="pct"/>
            <w:vMerge w:val="continue"/>
            <w:vAlign w:val="center"/>
          </w:tcPr>
          <w:p>
            <w:pPr>
              <w:rPr>
                <w:rFonts w:ascii="宋体" w:hAnsi="宋体"/>
                <w:sz w:val="24"/>
                <w:szCs w:val="24"/>
                <w:highlight w:val="none"/>
              </w:rPr>
            </w:pPr>
          </w:p>
        </w:tc>
        <w:tc>
          <w:tcPr>
            <w:tcW w:w="1840" w:type="pct"/>
            <w:vAlign w:val="center"/>
          </w:tcPr>
          <w:p>
            <w:pPr>
              <w:rPr>
                <w:rFonts w:ascii="宋体" w:hAnsi="宋体"/>
                <w:sz w:val="24"/>
                <w:szCs w:val="24"/>
                <w:highlight w:val="none"/>
              </w:rPr>
            </w:pPr>
            <w:r>
              <w:rPr>
                <w:rFonts w:hint="eastAsia" w:ascii="宋体" w:hAnsi="宋体"/>
                <w:sz w:val="24"/>
                <w:szCs w:val="24"/>
                <w:highlight w:val="none"/>
              </w:rPr>
              <w:t>5）参加采购活动前三年内，在经营活动中没有重大违法记录</w:t>
            </w:r>
          </w:p>
        </w:tc>
        <w:tc>
          <w:tcPr>
            <w:tcW w:w="2440" w:type="pct"/>
            <w:vMerge w:val="continue"/>
            <w:vAlign w:val="center"/>
          </w:tcPr>
          <w:p>
            <w:pP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350" w:type="pct"/>
            <w:vMerge w:val="continue"/>
            <w:vAlign w:val="center"/>
          </w:tcPr>
          <w:p>
            <w:pPr>
              <w:jc w:val="center"/>
              <w:rPr>
                <w:rFonts w:ascii="宋体" w:hAnsi="宋体"/>
                <w:sz w:val="24"/>
                <w:szCs w:val="24"/>
                <w:highlight w:val="none"/>
              </w:rPr>
            </w:pPr>
          </w:p>
        </w:tc>
        <w:tc>
          <w:tcPr>
            <w:tcW w:w="368" w:type="pct"/>
            <w:vMerge w:val="continue"/>
            <w:vAlign w:val="center"/>
          </w:tcPr>
          <w:p>
            <w:pPr>
              <w:rPr>
                <w:rFonts w:ascii="宋体" w:hAnsi="宋体"/>
                <w:sz w:val="24"/>
                <w:szCs w:val="24"/>
                <w:highlight w:val="none"/>
              </w:rPr>
            </w:pPr>
          </w:p>
        </w:tc>
        <w:tc>
          <w:tcPr>
            <w:tcW w:w="1840" w:type="pct"/>
            <w:vAlign w:val="center"/>
          </w:tcPr>
          <w:p>
            <w:pPr>
              <w:rPr>
                <w:rFonts w:ascii="宋体" w:hAnsi="宋体"/>
                <w:sz w:val="24"/>
                <w:szCs w:val="24"/>
                <w:highlight w:val="none"/>
              </w:rPr>
            </w:pPr>
            <w:r>
              <w:rPr>
                <w:rFonts w:hint="eastAsia" w:ascii="宋体" w:hAnsi="宋体"/>
                <w:sz w:val="24"/>
                <w:szCs w:val="24"/>
                <w:highlight w:val="none"/>
              </w:rPr>
              <w:t>6）法律、行政法规规定的其他条件</w:t>
            </w:r>
          </w:p>
        </w:tc>
        <w:tc>
          <w:tcPr>
            <w:tcW w:w="2440" w:type="pct"/>
            <w:vMerge w:val="continue"/>
            <w:vAlign w:val="center"/>
          </w:tcPr>
          <w:p>
            <w:pP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rPr>
        <w:tc>
          <w:tcPr>
            <w:tcW w:w="350" w:type="pct"/>
            <w:vAlign w:val="center"/>
          </w:tcPr>
          <w:p>
            <w:pPr>
              <w:jc w:val="center"/>
              <w:rPr>
                <w:rFonts w:ascii="宋体" w:hAnsi="宋体"/>
                <w:sz w:val="24"/>
                <w:szCs w:val="24"/>
                <w:highlight w:val="none"/>
              </w:rPr>
            </w:pPr>
            <w:r>
              <w:rPr>
                <w:rFonts w:hint="eastAsia" w:ascii="宋体" w:hAnsi="宋体"/>
                <w:sz w:val="24"/>
                <w:szCs w:val="24"/>
                <w:highlight w:val="none"/>
              </w:rPr>
              <w:t>2</w:t>
            </w:r>
          </w:p>
        </w:tc>
        <w:tc>
          <w:tcPr>
            <w:tcW w:w="2208" w:type="pct"/>
            <w:gridSpan w:val="2"/>
            <w:vAlign w:val="center"/>
          </w:tcPr>
          <w:p>
            <w:pPr>
              <w:rPr>
                <w:rFonts w:ascii="宋体" w:hAnsi="宋体"/>
                <w:sz w:val="24"/>
                <w:szCs w:val="24"/>
                <w:highlight w:val="none"/>
              </w:rPr>
            </w:pPr>
            <w:r>
              <w:rPr>
                <w:rFonts w:hint="eastAsia" w:ascii="宋体" w:hAnsi="宋体"/>
                <w:sz w:val="24"/>
                <w:szCs w:val="24"/>
                <w:highlight w:val="none"/>
              </w:rPr>
              <w:t>特定资格条件</w:t>
            </w:r>
          </w:p>
        </w:tc>
        <w:tc>
          <w:tcPr>
            <w:tcW w:w="2440" w:type="pct"/>
            <w:vAlign w:val="center"/>
          </w:tcPr>
          <w:p>
            <w:pPr>
              <w:rPr>
                <w:rFonts w:ascii="宋体" w:hAnsi="宋体"/>
                <w:sz w:val="24"/>
                <w:szCs w:val="24"/>
                <w:highlight w:val="none"/>
              </w:rPr>
            </w:pP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50" w:type="pct"/>
            <w:vAlign w:val="center"/>
          </w:tcPr>
          <w:p>
            <w:pPr>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3</w:t>
            </w:r>
          </w:p>
        </w:tc>
        <w:tc>
          <w:tcPr>
            <w:tcW w:w="2208" w:type="pct"/>
            <w:gridSpan w:val="2"/>
            <w:vAlign w:val="center"/>
          </w:tcPr>
          <w:p>
            <w:pP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比选保证金</w:t>
            </w:r>
          </w:p>
        </w:tc>
        <w:tc>
          <w:tcPr>
            <w:tcW w:w="2440" w:type="pct"/>
            <w:vAlign w:val="center"/>
          </w:tcPr>
          <w:p>
            <w:pP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须按照“第一篇 竞争性比选邀请书”规定递交足额保证金。</w:t>
            </w:r>
          </w:p>
        </w:tc>
      </w:tr>
    </w:tbl>
    <w:p>
      <w:pPr>
        <w:snapToGrid w:val="0"/>
        <w:spacing w:line="440" w:lineRule="exact"/>
        <w:ind w:firstLine="560" w:firstLineChars="200"/>
        <w:rPr>
          <w:rFonts w:ascii="宋体" w:hAnsi="宋体"/>
          <w:szCs w:val="28"/>
          <w:highlight w:val="none"/>
        </w:rPr>
      </w:pPr>
      <w:r>
        <w:rPr>
          <w:rFonts w:hint="eastAsia" w:ascii="宋体" w:hAnsi="宋体"/>
          <w:szCs w:val="28"/>
          <w:highlight w:val="none"/>
        </w:rPr>
        <w:t>注：</w:t>
      </w:r>
    </w:p>
    <w:p>
      <w:pPr>
        <w:spacing w:line="440" w:lineRule="exact"/>
        <w:ind w:firstLine="560" w:firstLineChars="200"/>
        <w:rPr>
          <w:rFonts w:ascii="宋体" w:hAnsi="宋体"/>
          <w:color w:val="000000"/>
          <w:szCs w:val="28"/>
          <w:highlight w:val="none"/>
        </w:rPr>
      </w:pPr>
      <w:r>
        <w:rPr>
          <w:rFonts w:ascii="宋体" w:hAnsi="宋体"/>
          <w:color w:val="000000"/>
          <w:szCs w:val="28"/>
          <w:highlight w:val="none"/>
        </w:rPr>
        <w:fldChar w:fldCharType="begin"/>
      </w:r>
      <w:r>
        <w:rPr>
          <w:rFonts w:hint="eastAsia" w:ascii="宋体" w:hAnsi="宋体"/>
          <w:color w:val="000000"/>
          <w:szCs w:val="28"/>
          <w:highlight w:val="none"/>
        </w:rPr>
        <w:instrText xml:space="preserve">eq \o\ac(○,1)</w:instrText>
      </w:r>
      <w:r>
        <w:rPr>
          <w:rFonts w:ascii="宋体" w:hAnsi="宋体"/>
          <w:color w:val="000000"/>
          <w:szCs w:val="28"/>
          <w:highlight w:val="none"/>
        </w:rPr>
        <w:fldChar w:fldCharType="end"/>
      </w:r>
      <w:r>
        <w:rPr>
          <w:rFonts w:hint="eastAsia" w:ascii="宋体" w:hAnsi="宋体"/>
          <w:color w:val="000000"/>
          <w:szCs w:val="28"/>
          <w:highlight w:val="none"/>
        </w:rPr>
        <w:t>竞选人按“多证合一”登记制度办理营业执照的，组织机构代码证和税务登记证（副本）以竞选人所提供的营业执照（副本）复印件为准。</w:t>
      </w:r>
    </w:p>
    <w:p>
      <w:pPr>
        <w:spacing w:line="440" w:lineRule="exact"/>
        <w:ind w:firstLine="560" w:firstLineChars="200"/>
        <w:rPr>
          <w:color w:val="000000"/>
          <w:szCs w:val="28"/>
          <w:highlight w:val="none"/>
        </w:rPr>
      </w:pPr>
      <w:r>
        <w:rPr>
          <w:rFonts w:ascii="宋体" w:hAnsi="宋体"/>
          <w:color w:val="000000"/>
          <w:szCs w:val="28"/>
          <w:highlight w:val="none"/>
        </w:rPr>
        <w:fldChar w:fldCharType="begin"/>
      </w:r>
      <w:r>
        <w:rPr>
          <w:rFonts w:hint="eastAsia" w:ascii="宋体" w:hAnsi="宋体"/>
          <w:color w:val="000000"/>
          <w:szCs w:val="28"/>
          <w:highlight w:val="none"/>
        </w:rPr>
        <w:instrText xml:space="preserve">eq \o\ac(○,2)</w:instrText>
      </w:r>
      <w:r>
        <w:rPr>
          <w:rFonts w:ascii="宋体" w:hAnsi="宋体"/>
          <w:color w:val="000000"/>
          <w:szCs w:val="28"/>
          <w:highlight w:val="none"/>
        </w:rPr>
        <w:fldChar w:fldCharType="end"/>
      </w:r>
      <w:r>
        <w:rPr>
          <w:rFonts w:hint="eastAsia" w:ascii="宋体" w:hAnsi="宋体"/>
          <w:color w:val="000000"/>
          <w:szCs w:val="28"/>
          <w:highlight w:val="none"/>
        </w:rPr>
        <w:t xml:space="preserve"> “参加比选前三年内，在经营活动中没有重大违法记录”中“重大违法记录”</w:t>
      </w:r>
      <w:r>
        <w:rPr>
          <w:rFonts w:ascii="宋体" w:hAnsi="宋体"/>
          <w:color w:val="000000"/>
          <w:szCs w:val="28"/>
          <w:highlight w:val="none"/>
        </w:rPr>
        <w:t>，是指</w:t>
      </w:r>
      <w:r>
        <w:rPr>
          <w:rFonts w:hint="eastAsia" w:ascii="宋体" w:hAnsi="宋体"/>
          <w:color w:val="000000"/>
          <w:szCs w:val="28"/>
          <w:highlight w:val="none"/>
        </w:rPr>
        <w:t>竞选人</w:t>
      </w:r>
      <w:r>
        <w:rPr>
          <w:rFonts w:ascii="宋体" w:hAnsi="宋体"/>
          <w:color w:val="000000"/>
          <w:szCs w:val="28"/>
          <w:highlight w:val="none"/>
        </w:rPr>
        <w:t>因违法经营受到刑事处罚或者责令停产停业、吊销许可证或者执照、较大数额罚款等行政处罚。</w:t>
      </w:r>
      <w:r>
        <w:rPr>
          <w:rFonts w:hint="eastAsia" w:ascii="宋体" w:hAnsi="宋体"/>
          <w:color w:val="000000"/>
          <w:szCs w:val="28"/>
          <w:highlight w:val="none"/>
        </w:rPr>
        <w:t>行政处罚中“较大数额”的认定标准，由行政处罚的实施机关所在的省、自治区、直辖市人民政府制定，国务院有关部门规定了较大数额标准的，从其规定。</w:t>
      </w:r>
    </w:p>
    <w:p>
      <w:pPr>
        <w:spacing w:line="440" w:lineRule="exact"/>
        <w:ind w:firstLine="560" w:firstLineChars="200"/>
        <w:rPr>
          <w:rFonts w:ascii="宋体" w:hAnsi="宋体"/>
          <w:color w:val="000000"/>
          <w:szCs w:val="28"/>
          <w:highlight w:val="none"/>
        </w:rPr>
      </w:pPr>
      <w:r>
        <w:rPr>
          <w:rFonts w:hint="eastAsia" w:ascii="宋体" w:hAnsi="宋体"/>
          <w:color w:val="000000"/>
          <w:szCs w:val="28"/>
          <w:highlight w:val="none"/>
        </w:rPr>
        <w:t>2．符合性检查。依据竞争性比选文件的规定，从竞选文件的有效性、完整性和对竞争性比选文件的响应程度进行审查，以确定是否对竞争性比选文件的实质性要求作出响应。符合性检查资料表如下：</w:t>
      </w:r>
    </w:p>
    <w:tbl>
      <w:tblPr>
        <w:tblStyle w:val="61"/>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noWrap/>
            <w:vAlign w:val="center"/>
          </w:tcPr>
          <w:p>
            <w:pPr>
              <w:jc w:val="center"/>
              <w:rPr>
                <w:rFonts w:ascii="宋体" w:hAnsi="宋体"/>
                <w:b/>
                <w:color w:val="000000"/>
                <w:sz w:val="24"/>
                <w:szCs w:val="24"/>
                <w:highlight w:val="none"/>
              </w:rPr>
            </w:pPr>
            <w:r>
              <w:rPr>
                <w:rFonts w:hint="eastAsia" w:ascii="宋体" w:hAnsi="宋体"/>
                <w:b/>
                <w:color w:val="000000"/>
                <w:sz w:val="24"/>
                <w:szCs w:val="24"/>
                <w:highlight w:val="none"/>
              </w:rPr>
              <w:t>序号</w:t>
            </w:r>
          </w:p>
        </w:tc>
        <w:tc>
          <w:tcPr>
            <w:tcW w:w="3569" w:type="dxa"/>
            <w:gridSpan w:val="2"/>
            <w:noWrap/>
            <w:vAlign w:val="center"/>
          </w:tcPr>
          <w:p>
            <w:pPr>
              <w:jc w:val="center"/>
              <w:rPr>
                <w:rFonts w:ascii="宋体" w:hAnsi="宋体"/>
                <w:b/>
                <w:color w:val="000000"/>
                <w:sz w:val="24"/>
                <w:szCs w:val="24"/>
                <w:highlight w:val="none"/>
              </w:rPr>
            </w:pPr>
            <w:r>
              <w:rPr>
                <w:rFonts w:hint="eastAsia" w:ascii="宋体" w:hAnsi="宋体"/>
                <w:b/>
                <w:color w:val="000000"/>
                <w:sz w:val="24"/>
                <w:szCs w:val="24"/>
                <w:highlight w:val="none"/>
              </w:rPr>
              <w:t>评审因素</w:t>
            </w:r>
          </w:p>
        </w:tc>
        <w:tc>
          <w:tcPr>
            <w:tcW w:w="5441" w:type="dxa"/>
            <w:noWrap/>
            <w:vAlign w:val="center"/>
          </w:tcPr>
          <w:p>
            <w:pPr>
              <w:jc w:val="center"/>
              <w:rPr>
                <w:rFonts w:ascii="宋体" w:hAnsi="宋体"/>
                <w:b/>
                <w:color w:val="000000"/>
                <w:sz w:val="24"/>
                <w:szCs w:val="24"/>
                <w:highlight w:val="none"/>
              </w:rPr>
            </w:pPr>
            <w:r>
              <w:rPr>
                <w:rFonts w:hint="eastAsia" w:ascii="宋体" w:hAnsi="宋体"/>
                <w:b/>
                <w:color w:val="00000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75" w:type="dxa"/>
            <w:vMerge w:val="restart"/>
            <w:noWrap/>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1573" w:type="dxa"/>
            <w:vMerge w:val="restart"/>
            <w:noWrap/>
            <w:vAlign w:val="center"/>
          </w:tcPr>
          <w:p>
            <w:pPr>
              <w:rPr>
                <w:rFonts w:ascii="宋体" w:hAnsi="宋体"/>
                <w:color w:val="000000"/>
                <w:sz w:val="24"/>
                <w:szCs w:val="24"/>
                <w:highlight w:val="none"/>
              </w:rPr>
            </w:pPr>
            <w:r>
              <w:rPr>
                <w:rFonts w:hint="eastAsia" w:ascii="宋体" w:hAnsi="宋体"/>
                <w:color w:val="000000"/>
                <w:sz w:val="24"/>
                <w:szCs w:val="24"/>
                <w:highlight w:val="none"/>
              </w:rPr>
              <w:t>有效性审查</w:t>
            </w:r>
          </w:p>
        </w:tc>
        <w:tc>
          <w:tcPr>
            <w:tcW w:w="1996" w:type="dxa"/>
            <w:noWrap/>
            <w:vAlign w:val="center"/>
          </w:tcPr>
          <w:p>
            <w:pPr>
              <w:rPr>
                <w:rFonts w:ascii="宋体" w:hAnsi="宋体"/>
                <w:color w:val="000000"/>
                <w:sz w:val="24"/>
                <w:szCs w:val="24"/>
                <w:highlight w:val="none"/>
              </w:rPr>
            </w:pPr>
            <w:r>
              <w:rPr>
                <w:rFonts w:hint="eastAsia" w:ascii="宋体" w:hAnsi="宋体"/>
                <w:color w:val="000000"/>
                <w:sz w:val="24"/>
                <w:szCs w:val="24"/>
                <w:highlight w:val="none"/>
              </w:rPr>
              <w:t>竞选文件签署</w:t>
            </w:r>
          </w:p>
        </w:tc>
        <w:tc>
          <w:tcPr>
            <w:tcW w:w="5441" w:type="dxa"/>
            <w:noWrap/>
            <w:vAlign w:val="center"/>
          </w:tcPr>
          <w:p>
            <w:pPr>
              <w:rPr>
                <w:rFonts w:ascii="宋体" w:hAnsi="宋体"/>
                <w:color w:val="000000"/>
                <w:sz w:val="24"/>
                <w:szCs w:val="24"/>
                <w:highlight w:val="none"/>
              </w:rPr>
            </w:pPr>
            <w:r>
              <w:rPr>
                <w:rFonts w:hint="eastAsia" w:ascii="宋体" w:hAnsi="宋体"/>
                <w:color w:val="000000"/>
                <w:sz w:val="24"/>
                <w:szCs w:val="24"/>
                <w:highlight w:val="none"/>
              </w:rPr>
              <w:t>竞选文件上法定代表人或其授权代表人的签字齐全。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noWrap/>
            <w:vAlign w:val="center"/>
          </w:tcPr>
          <w:p>
            <w:pPr>
              <w:jc w:val="center"/>
              <w:rPr>
                <w:rFonts w:ascii="宋体" w:hAnsi="宋体"/>
                <w:color w:val="000000"/>
                <w:sz w:val="24"/>
                <w:szCs w:val="24"/>
                <w:highlight w:val="none"/>
              </w:rPr>
            </w:pPr>
          </w:p>
        </w:tc>
        <w:tc>
          <w:tcPr>
            <w:tcW w:w="1573" w:type="dxa"/>
            <w:vMerge w:val="continue"/>
            <w:noWrap/>
            <w:vAlign w:val="center"/>
          </w:tcPr>
          <w:p>
            <w:pPr>
              <w:rPr>
                <w:rFonts w:ascii="宋体" w:hAnsi="宋体"/>
                <w:color w:val="000000"/>
                <w:sz w:val="24"/>
                <w:szCs w:val="24"/>
                <w:highlight w:val="none"/>
              </w:rPr>
            </w:pPr>
          </w:p>
        </w:tc>
        <w:tc>
          <w:tcPr>
            <w:tcW w:w="1996" w:type="dxa"/>
            <w:noWrap/>
            <w:vAlign w:val="center"/>
          </w:tcPr>
          <w:p>
            <w:pPr>
              <w:rPr>
                <w:rFonts w:ascii="宋体" w:hAnsi="宋体"/>
                <w:color w:val="000000"/>
                <w:sz w:val="24"/>
                <w:szCs w:val="24"/>
                <w:highlight w:val="none"/>
              </w:rPr>
            </w:pPr>
            <w:r>
              <w:rPr>
                <w:rFonts w:hint="eastAsia" w:ascii="宋体" w:hAnsi="宋体"/>
                <w:color w:val="000000"/>
                <w:sz w:val="24"/>
                <w:szCs w:val="24"/>
                <w:highlight w:val="none"/>
              </w:rPr>
              <w:t>法定代表人身份证明及授权委托书</w:t>
            </w:r>
          </w:p>
        </w:tc>
        <w:tc>
          <w:tcPr>
            <w:tcW w:w="5441" w:type="dxa"/>
            <w:noWrap/>
            <w:vAlign w:val="center"/>
          </w:tcPr>
          <w:p>
            <w:pPr>
              <w:rPr>
                <w:rFonts w:ascii="宋体" w:hAnsi="宋体"/>
                <w:color w:val="000000"/>
                <w:sz w:val="24"/>
                <w:szCs w:val="24"/>
                <w:highlight w:val="none"/>
              </w:rPr>
            </w:pPr>
            <w:r>
              <w:rPr>
                <w:rFonts w:hint="eastAsia" w:ascii="宋体" w:hAnsi="宋体"/>
                <w:color w:val="000000"/>
                <w:sz w:val="24"/>
                <w:szCs w:val="24"/>
                <w:highlight w:val="none"/>
              </w:rPr>
              <w:t>法定代表人身份证明及授权委托书有效，符合竞争性比选文件规定的格式，签字或盖章齐全。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Merge w:val="continue"/>
            <w:noWrap/>
            <w:vAlign w:val="center"/>
          </w:tcPr>
          <w:p>
            <w:pPr>
              <w:jc w:val="center"/>
              <w:rPr>
                <w:rFonts w:ascii="宋体" w:hAnsi="宋体"/>
                <w:color w:val="000000"/>
                <w:sz w:val="24"/>
                <w:szCs w:val="24"/>
                <w:highlight w:val="none"/>
              </w:rPr>
            </w:pPr>
          </w:p>
        </w:tc>
        <w:tc>
          <w:tcPr>
            <w:tcW w:w="1573" w:type="dxa"/>
            <w:vMerge w:val="continue"/>
            <w:noWrap/>
            <w:vAlign w:val="center"/>
          </w:tcPr>
          <w:p>
            <w:pPr>
              <w:rPr>
                <w:rFonts w:ascii="宋体" w:hAnsi="宋体"/>
                <w:color w:val="000000"/>
                <w:sz w:val="24"/>
                <w:szCs w:val="24"/>
                <w:highlight w:val="none"/>
              </w:rPr>
            </w:pPr>
          </w:p>
        </w:tc>
        <w:tc>
          <w:tcPr>
            <w:tcW w:w="1996" w:type="dxa"/>
            <w:noWrap/>
            <w:vAlign w:val="center"/>
          </w:tcPr>
          <w:p>
            <w:pPr>
              <w:rPr>
                <w:rFonts w:ascii="宋体" w:hAnsi="宋体"/>
                <w:color w:val="000000"/>
                <w:sz w:val="24"/>
                <w:szCs w:val="24"/>
                <w:highlight w:val="none"/>
              </w:rPr>
            </w:pPr>
            <w:r>
              <w:rPr>
                <w:rFonts w:hint="eastAsia" w:ascii="宋体" w:hAnsi="宋体"/>
                <w:color w:val="000000"/>
                <w:sz w:val="24"/>
                <w:szCs w:val="24"/>
                <w:highlight w:val="none"/>
              </w:rPr>
              <w:t>比选方案</w:t>
            </w:r>
          </w:p>
        </w:tc>
        <w:tc>
          <w:tcPr>
            <w:tcW w:w="5441" w:type="dxa"/>
            <w:noWrap/>
            <w:vAlign w:val="center"/>
          </w:tcPr>
          <w:p>
            <w:pPr>
              <w:rPr>
                <w:rFonts w:ascii="宋体" w:hAnsi="宋体"/>
                <w:color w:val="000000"/>
                <w:sz w:val="24"/>
                <w:szCs w:val="24"/>
                <w:highlight w:val="none"/>
              </w:rPr>
            </w:pPr>
            <w:r>
              <w:rPr>
                <w:rFonts w:hint="eastAsia" w:ascii="宋体" w:hAnsi="宋体"/>
                <w:color w:val="000000"/>
                <w:sz w:val="24"/>
                <w:szCs w:val="24"/>
                <w:highlight w:val="none"/>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Merge w:val="continue"/>
            <w:noWrap/>
            <w:vAlign w:val="center"/>
          </w:tcPr>
          <w:p>
            <w:pPr>
              <w:jc w:val="center"/>
              <w:rPr>
                <w:rFonts w:ascii="宋体" w:hAnsi="宋体"/>
                <w:color w:val="000000"/>
                <w:sz w:val="24"/>
                <w:szCs w:val="24"/>
                <w:highlight w:val="none"/>
              </w:rPr>
            </w:pPr>
          </w:p>
        </w:tc>
        <w:tc>
          <w:tcPr>
            <w:tcW w:w="1573" w:type="dxa"/>
            <w:vMerge w:val="continue"/>
            <w:noWrap/>
            <w:vAlign w:val="center"/>
          </w:tcPr>
          <w:p>
            <w:pPr>
              <w:rPr>
                <w:rFonts w:ascii="宋体" w:hAnsi="宋体"/>
                <w:color w:val="000000"/>
                <w:sz w:val="24"/>
                <w:szCs w:val="24"/>
                <w:highlight w:val="none"/>
              </w:rPr>
            </w:pPr>
          </w:p>
        </w:tc>
        <w:tc>
          <w:tcPr>
            <w:tcW w:w="1996" w:type="dxa"/>
            <w:noWrap/>
            <w:vAlign w:val="center"/>
          </w:tcPr>
          <w:p>
            <w:pPr>
              <w:rPr>
                <w:rFonts w:ascii="宋体" w:hAnsi="宋体"/>
                <w:color w:val="000000"/>
                <w:sz w:val="24"/>
                <w:szCs w:val="24"/>
                <w:highlight w:val="none"/>
              </w:rPr>
            </w:pPr>
            <w:r>
              <w:rPr>
                <w:rFonts w:hint="eastAsia" w:ascii="宋体" w:hAnsi="宋体"/>
                <w:color w:val="000000"/>
                <w:sz w:val="24"/>
                <w:szCs w:val="24"/>
                <w:highlight w:val="none"/>
              </w:rPr>
              <w:t>报价唯一</w:t>
            </w:r>
          </w:p>
        </w:tc>
        <w:tc>
          <w:tcPr>
            <w:tcW w:w="5441" w:type="dxa"/>
            <w:noWrap/>
            <w:vAlign w:val="center"/>
          </w:tcPr>
          <w:p>
            <w:pPr>
              <w:rPr>
                <w:rFonts w:ascii="宋体" w:hAnsi="宋体"/>
                <w:color w:val="000000"/>
                <w:sz w:val="24"/>
                <w:szCs w:val="24"/>
                <w:highlight w:val="none"/>
              </w:rPr>
            </w:pPr>
            <w:r>
              <w:rPr>
                <w:rFonts w:hint="eastAsia" w:ascii="宋体" w:hAnsi="宋体"/>
                <w:color w:val="000000"/>
                <w:sz w:val="24"/>
                <w:szCs w:val="24"/>
                <w:highlight w:val="none"/>
              </w:rPr>
              <w:t>只能在最高限价范围内报价，只能有一个有效报价，不得提交选择性报价，不得超过最高限价。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2</w:t>
            </w:r>
          </w:p>
        </w:tc>
        <w:tc>
          <w:tcPr>
            <w:tcW w:w="1573" w:type="dxa"/>
            <w:noWrap/>
            <w:vAlign w:val="center"/>
          </w:tcPr>
          <w:p>
            <w:pPr>
              <w:rPr>
                <w:rFonts w:ascii="宋体" w:hAnsi="宋体"/>
                <w:color w:val="000000"/>
                <w:sz w:val="24"/>
                <w:szCs w:val="24"/>
                <w:highlight w:val="none"/>
              </w:rPr>
            </w:pPr>
            <w:r>
              <w:rPr>
                <w:rFonts w:hint="eastAsia" w:ascii="宋体" w:hAnsi="宋体"/>
                <w:color w:val="000000"/>
                <w:sz w:val="24"/>
                <w:szCs w:val="24"/>
                <w:highlight w:val="none"/>
              </w:rPr>
              <w:t>完整性审查</w:t>
            </w:r>
          </w:p>
        </w:tc>
        <w:tc>
          <w:tcPr>
            <w:tcW w:w="1996" w:type="dxa"/>
            <w:noWrap/>
            <w:vAlign w:val="center"/>
          </w:tcPr>
          <w:p>
            <w:pPr>
              <w:rPr>
                <w:rFonts w:ascii="宋体" w:hAnsi="宋体"/>
                <w:color w:val="000000"/>
                <w:sz w:val="24"/>
                <w:szCs w:val="24"/>
                <w:highlight w:val="none"/>
              </w:rPr>
            </w:pPr>
            <w:r>
              <w:rPr>
                <w:rFonts w:hint="eastAsia" w:ascii="宋体" w:hAnsi="宋体"/>
                <w:color w:val="000000"/>
                <w:sz w:val="24"/>
                <w:szCs w:val="24"/>
                <w:highlight w:val="none"/>
              </w:rPr>
              <w:t>竞选文件份数</w:t>
            </w:r>
          </w:p>
        </w:tc>
        <w:tc>
          <w:tcPr>
            <w:tcW w:w="5441" w:type="dxa"/>
            <w:noWrap/>
            <w:vAlign w:val="center"/>
          </w:tcPr>
          <w:p>
            <w:pPr>
              <w:rPr>
                <w:rFonts w:ascii="宋体" w:hAnsi="宋体"/>
                <w:color w:val="000000"/>
                <w:sz w:val="24"/>
                <w:szCs w:val="24"/>
                <w:highlight w:val="none"/>
              </w:rPr>
            </w:pPr>
            <w:r>
              <w:rPr>
                <w:rFonts w:hint="eastAsia" w:ascii="宋体" w:hAnsi="宋体"/>
                <w:color w:val="000000"/>
                <w:sz w:val="24"/>
                <w:szCs w:val="24"/>
                <w:highlight w:val="none"/>
              </w:rPr>
              <w:t>竞选文件正、副本数量符合竞争性比选文件要求。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5" w:type="dxa"/>
            <w:vMerge w:val="restart"/>
            <w:noWrap/>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3</w:t>
            </w:r>
          </w:p>
        </w:tc>
        <w:tc>
          <w:tcPr>
            <w:tcW w:w="1573" w:type="dxa"/>
            <w:vMerge w:val="restart"/>
            <w:noWrap/>
            <w:vAlign w:val="center"/>
          </w:tcPr>
          <w:p>
            <w:pPr>
              <w:rPr>
                <w:rFonts w:ascii="宋体" w:hAnsi="宋体"/>
                <w:color w:val="000000"/>
                <w:sz w:val="24"/>
                <w:szCs w:val="24"/>
                <w:highlight w:val="none"/>
              </w:rPr>
            </w:pPr>
            <w:r>
              <w:rPr>
                <w:rFonts w:hint="eastAsia" w:ascii="宋体" w:hAnsi="宋体"/>
                <w:color w:val="000000"/>
                <w:sz w:val="24"/>
                <w:szCs w:val="24"/>
                <w:highlight w:val="none"/>
              </w:rPr>
              <w:t>竞争性比选文件的响应程度审查</w:t>
            </w:r>
          </w:p>
        </w:tc>
        <w:tc>
          <w:tcPr>
            <w:tcW w:w="1996" w:type="dxa"/>
            <w:noWrap/>
            <w:vAlign w:val="center"/>
          </w:tcPr>
          <w:p>
            <w:pPr>
              <w:rPr>
                <w:rFonts w:ascii="宋体" w:hAnsi="宋体"/>
                <w:color w:val="000000"/>
                <w:sz w:val="24"/>
                <w:szCs w:val="24"/>
                <w:highlight w:val="none"/>
              </w:rPr>
            </w:pPr>
            <w:r>
              <w:rPr>
                <w:rFonts w:hint="eastAsia" w:ascii="宋体" w:hAnsi="宋体"/>
                <w:color w:val="000000"/>
                <w:sz w:val="24"/>
                <w:szCs w:val="24"/>
                <w:highlight w:val="none"/>
              </w:rPr>
              <w:t>竞选文件内容</w:t>
            </w:r>
          </w:p>
        </w:tc>
        <w:tc>
          <w:tcPr>
            <w:tcW w:w="5441" w:type="dxa"/>
            <w:noWrap/>
            <w:vAlign w:val="center"/>
          </w:tcPr>
          <w:p>
            <w:pPr>
              <w:pStyle w:val="35"/>
              <w:rPr>
                <w:rFonts w:ascii="宋体" w:hAnsi="宋体"/>
                <w:color w:val="000000"/>
                <w:sz w:val="24"/>
                <w:szCs w:val="24"/>
                <w:highlight w:val="none"/>
              </w:rPr>
            </w:pPr>
            <w:r>
              <w:rPr>
                <w:rFonts w:hint="eastAsia" w:ascii="宋体" w:hAnsi="宋体"/>
                <w:color w:val="000000"/>
                <w:sz w:val="24"/>
                <w:szCs w:val="24"/>
                <w:highlight w:val="none"/>
              </w:rPr>
              <w:t>对竞争性比选文件第二、第三篇中★部分标注条款的内容作出响应。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ign w:val="center"/>
          </w:tcPr>
          <w:p>
            <w:pPr>
              <w:jc w:val="center"/>
              <w:rPr>
                <w:rFonts w:ascii="宋体" w:hAnsi="宋体"/>
                <w:color w:val="000000"/>
                <w:sz w:val="24"/>
                <w:szCs w:val="24"/>
                <w:highlight w:val="none"/>
              </w:rPr>
            </w:pPr>
          </w:p>
        </w:tc>
        <w:tc>
          <w:tcPr>
            <w:tcW w:w="1573" w:type="dxa"/>
            <w:vMerge w:val="continue"/>
            <w:noWrap/>
            <w:vAlign w:val="center"/>
          </w:tcPr>
          <w:p>
            <w:pPr>
              <w:rPr>
                <w:rFonts w:ascii="宋体" w:hAnsi="宋体"/>
                <w:color w:val="000000"/>
                <w:sz w:val="24"/>
                <w:szCs w:val="24"/>
                <w:highlight w:val="none"/>
              </w:rPr>
            </w:pPr>
          </w:p>
        </w:tc>
        <w:tc>
          <w:tcPr>
            <w:tcW w:w="1996" w:type="dxa"/>
            <w:noWrap/>
            <w:vAlign w:val="center"/>
          </w:tcPr>
          <w:p>
            <w:pPr>
              <w:rPr>
                <w:rFonts w:ascii="宋体" w:hAnsi="宋体"/>
                <w:color w:val="000000"/>
                <w:sz w:val="24"/>
                <w:szCs w:val="24"/>
                <w:highlight w:val="none"/>
              </w:rPr>
            </w:pPr>
            <w:r>
              <w:rPr>
                <w:rFonts w:hint="eastAsia" w:ascii="宋体" w:hAnsi="宋体"/>
                <w:color w:val="000000"/>
                <w:sz w:val="24"/>
                <w:szCs w:val="24"/>
                <w:highlight w:val="none"/>
              </w:rPr>
              <w:t>比选有效期</w:t>
            </w:r>
          </w:p>
        </w:tc>
        <w:tc>
          <w:tcPr>
            <w:tcW w:w="5441" w:type="dxa"/>
            <w:noWrap/>
            <w:vAlign w:val="center"/>
          </w:tcPr>
          <w:p>
            <w:pPr>
              <w:rPr>
                <w:rFonts w:ascii="宋体" w:hAnsi="宋体"/>
                <w:color w:val="000000"/>
                <w:sz w:val="24"/>
                <w:szCs w:val="24"/>
                <w:highlight w:val="none"/>
              </w:rPr>
            </w:pPr>
            <w:r>
              <w:rPr>
                <w:rFonts w:hint="eastAsia" w:ascii="宋体" w:hAnsi="宋体"/>
                <w:color w:val="000000"/>
                <w:sz w:val="24"/>
                <w:szCs w:val="24"/>
                <w:highlight w:val="none"/>
              </w:rPr>
              <w:t>满足竞争性比选文件规定。</w:t>
            </w:r>
          </w:p>
        </w:tc>
      </w:tr>
    </w:tbl>
    <w:p>
      <w:pPr>
        <w:spacing w:line="440" w:lineRule="exact"/>
        <w:ind w:firstLine="560" w:firstLineChars="200"/>
        <w:rPr>
          <w:rFonts w:ascii="宋体" w:hAnsi="宋体"/>
          <w:color w:val="000000"/>
          <w:szCs w:val="28"/>
          <w:highlight w:val="none"/>
        </w:rPr>
      </w:pPr>
      <w:r>
        <w:rPr>
          <w:rFonts w:hint="eastAsia" w:ascii="宋体" w:hAnsi="宋体"/>
          <w:color w:val="000000"/>
          <w:szCs w:val="28"/>
          <w:highlight w:val="none"/>
        </w:rPr>
        <w:t>3．澄清有关问题。比选小组在对竞选文件的有效性、完整性和响应程度进行审查时，可以要求竞选人对竞选文件中含义不明确、同类问题表述不一致或者有明显文字和计算错误的内容等作出必要的澄清、说明或者更正。竞选人的澄清、说明或者更正不得超出竞选文件的范围或者改变竞选文件的实质性内容。</w:t>
      </w:r>
    </w:p>
    <w:p>
      <w:pPr>
        <w:spacing w:line="440" w:lineRule="exact"/>
        <w:ind w:firstLine="560" w:firstLineChars="200"/>
        <w:rPr>
          <w:rFonts w:ascii="宋体" w:hAnsi="宋体"/>
          <w:color w:val="000000"/>
          <w:szCs w:val="28"/>
          <w:highlight w:val="none"/>
        </w:rPr>
      </w:pPr>
      <w:r>
        <w:rPr>
          <w:rFonts w:hint="eastAsia" w:ascii="宋体" w:hAnsi="宋体"/>
          <w:color w:val="000000"/>
          <w:szCs w:val="28"/>
          <w:highlight w:val="none"/>
        </w:rPr>
        <w:t>4．比选小组要求竞选人澄清、说明或者更正竞选文件应当以书面形式作出。竞选人的澄清、说明或者更正应当由法定代表人或其授权代表签字或者加盖公章。由授权代表签字的，应当附法定代表人授权书。竞选人为自然人的，应当由本人签字并附身份证明。</w:t>
      </w:r>
    </w:p>
    <w:p>
      <w:pPr>
        <w:spacing w:line="440" w:lineRule="exact"/>
        <w:ind w:firstLine="560" w:firstLineChars="200"/>
        <w:rPr>
          <w:rFonts w:ascii="宋体" w:hAnsi="宋体"/>
          <w:color w:val="000000"/>
          <w:szCs w:val="28"/>
          <w:highlight w:val="none"/>
        </w:rPr>
      </w:pPr>
      <w:r>
        <w:rPr>
          <w:rFonts w:hint="eastAsia" w:ascii="宋体" w:hAnsi="宋体"/>
          <w:color w:val="000000"/>
          <w:szCs w:val="28"/>
          <w:highlight w:val="none"/>
        </w:rPr>
        <w:t>5．在比选过程中比选的任何一方不得向他人透露与比选有关的服务资料、价格或其他信息。</w:t>
      </w:r>
    </w:p>
    <w:p>
      <w:pPr>
        <w:spacing w:line="440" w:lineRule="exact"/>
        <w:ind w:firstLine="560" w:firstLineChars="200"/>
        <w:rPr>
          <w:rFonts w:ascii="宋体" w:hAnsi="宋体"/>
          <w:color w:val="000000"/>
          <w:szCs w:val="28"/>
          <w:highlight w:val="none"/>
        </w:rPr>
      </w:pPr>
      <w:r>
        <w:rPr>
          <w:rFonts w:hint="eastAsia" w:ascii="宋体" w:hAnsi="宋体"/>
          <w:color w:val="000000"/>
          <w:szCs w:val="28"/>
          <w:highlight w:val="none"/>
        </w:rPr>
        <w:t>6．比选小组采用综合评分法对竞选人的竞选文件进行综合评分，综合评分法是指竞选文件满足竞争性比选文件全部实质性要求且按照评审因素的量化指标评审得分最高的竞选人为中选候选竞选人的评审方法。竞选人总得分为价格、商务、服务等评定因素分别按照相应权重值计算分项得分后相加，满分为10</w:t>
      </w:r>
      <w:r>
        <w:rPr>
          <w:rFonts w:ascii="宋体" w:hAnsi="宋体"/>
          <w:color w:val="000000"/>
          <w:szCs w:val="28"/>
          <w:highlight w:val="none"/>
        </w:rPr>
        <w:t>0</w:t>
      </w:r>
      <w:r>
        <w:rPr>
          <w:rFonts w:hint="eastAsia" w:ascii="宋体" w:hAnsi="宋体"/>
          <w:color w:val="000000"/>
          <w:szCs w:val="28"/>
          <w:highlight w:val="none"/>
        </w:rPr>
        <w:t>分。（详见评审标准）</w:t>
      </w:r>
    </w:p>
    <w:p>
      <w:pPr>
        <w:spacing w:line="440" w:lineRule="exact"/>
        <w:ind w:firstLine="560" w:firstLineChars="200"/>
        <w:rPr>
          <w:rFonts w:ascii="宋体" w:hAnsi="宋体"/>
          <w:color w:val="auto"/>
          <w:szCs w:val="28"/>
          <w:highlight w:val="none"/>
        </w:rPr>
      </w:pPr>
      <w:r>
        <w:rPr>
          <w:rFonts w:hint="eastAsia" w:ascii="宋体" w:hAnsi="宋体"/>
          <w:color w:val="000000"/>
          <w:szCs w:val="28"/>
          <w:highlight w:val="none"/>
        </w:rPr>
        <w:t>10．比选小组各成员独立对每个有效响应的文件进行评价、打分，然后汇总每个竞选人每项评分因素的得分，按评审后得分由高到低的排列顺序推荐综合得分排名前三的竞选人为本项目中选候选人，排名第一的为第一中选候选人。若竞选人的评审得分相同的，按照报价由低到高的顺序排列推荐。评审得分且报价相同的，按照商务指标优</w:t>
      </w:r>
      <w:r>
        <w:rPr>
          <w:rFonts w:hint="eastAsia" w:ascii="宋体" w:hAnsi="宋体"/>
          <w:color w:val="auto"/>
          <w:szCs w:val="28"/>
          <w:highlight w:val="none"/>
        </w:rPr>
        <w:t>劣顺序排列推荐。以上都相同的，按商务条款的优劣顺序排列推荐。</w:t>
      </w:r>
    </w:p>
    <w:p>
      <w:pPr>
        <w:pStyle w:val="6"/>
        <w:spacing w:before="0" w:after="0" w:line="480" w:lineRule="exact"/>
        <w:rPr>
          <w:rFonts w:ascii="宋体" w:hAnsi="宋体"/>
          <w:color w:val="auto"/>
          <w:sz w:val="28"/>
          <w:szCs w:val="28"/>
          <w:highlight w:val="none"/>
        </w:rPr>
      </w:pPr>
      <w:bookmarkStart w:id="85" w:name="_Toc428437946"/>
      <w:bookmarkStart w:id="86" w:name="_Toc27046"/>
      <w:bookmarkStart w:id="87" w:name="_Toc8826"/>
      <w:r>
        <w:rPr>
          <w:rFonts w:hint="eastAsia" w:ascii="宋体" w:hAnsi="宋体"/>
          <w:color w:val="auto"/>
          <w:sz w:val="28"/>
          <w:szCs w:val="28"/>
          <w:highlight w:val="none"/>
        </w:rPr>
        <w:t>二、</w:t>
      </w:r>
      <w:bookmarkStart w:id="88" w:name="_Toc342913394"/>
      <w:bookmarkStart w:id="89" w:name="_Toc102227320"/>
      <w:r>
        <w:rPr>
          <w:rFonts w:hint="eastAsia" w:ascii="宋体" w:hAnsi="宋体"/>
          <w:color w:val="auto"/>
          <w:sz w:val="28"/>
          <w:szCs w:val="28"/>
          <w:highlight w:val="none"/>
        </w:rPr>
        <w:t>评审标准</w:t>
      </w:r>
      <w:bookmarkEnd w:id="85"/>
      <w:bookmarkEnd w:id="86"/>
      <w:bookmarkEnd w:id="87"/>
    </w:p>
    <w:tbl>
      <w:tblPr>
        <w:tblStyle w:val="61"/>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1"/>
        <w:gridCol w:w="1240"/>
        <w:gridCol w:w="1275"/>
        <w:gridCol w:w="4962"/>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441" w:type="dxa"/>
            <w:noWrap/>
            <w:vAlign w:val="center"/>
          </w:tcPr>
          <w:p>
            <w:pPr>
              <w:jc w:val="center"/>
              <w:rPr>
                <w:b/>
                <w:color w:val="auto"/>
                <w:sz w:val="24"/>
                <w:szCs w:val="24"/>
                <w:highlight w:val="none"/>
              </w:rPr>
            </w:pPr>
            <w:r>
              <w:rPr>
                <w:rFonts w:hint="eastAsia"/>
                <w:b/>
                <w:color w:val="auto"/>
                <w:sz w:val="24"/>
                <w:szCs w:val="24"/>
                <w:highlight w:val="none"/>
              </w:rPr>
              <w:t>序号</w:t>
            </w:r>
          </w:p>
        </w:tc>
        <w:tc>
          <w:tcPr>
            <w:tcW w:w="1240" w:type="dxa"/>
            <w:noWrap/>
            <w:vAlign w:val="center"/>
          </w:tcPr>
          <w:p>
            <w:pPr>
              <w:jc w:val="center"/>
              <w:rPr>
                <w:b/>
                <w:color w:val="auto"/>
                <w:sz w:val="24"/>
                <w:szCs w:val="24"/>
                <w:highlight w:val="none"/>
              </w:rPr>
            </w:pPr>
            <w:r>
              <w:rPr>
                <w:rFonts w:hint="eastAsia"/>
                <w:b/>
                <w:color w:val="auto"/>
                <w:sz w:val="24"/>
                <w:szCs w:val="24"/>
                <w:highlight w:val="none"/>
              </w:rPr>
              <w:t>评分因素及权值</w:t>
            </w:r>
          </w:p>
        </w:tc>
        <w:tc>
          <w:tcPr>
            <w:tcW w:w="1275" w:type="dxa"/>
            <w:noWrap/>
            <w:vAlign w:val="center"/>
          </w:tcPr>
          <w:p>
            <w:pPr>
              <w:jc w:val="center"/>
              <w:rPr>
                <w:b/>
                <w:color w:val="auto"/>
                <w:sz w:val="24"/>
                <w:szCs w:val="24"/>
                <w:highlight w:val="none"/>
              </w:rPr>
            </w:pPr>
            <w:r>
              <w:rPr>
                <w:rFonts w:hint="eastAsia"/>
                <w:b/>
                <w:color w:val="auto"/>
                <w:sz w:val="24"/>
                <w:szCs w:val="24"/>
                <w:highlight w:val="none"/>
              </w:rPr>
              <w:t>分值</w:t>
            </w:r>
          </w:p>
        </w:tc>
        <w:tc>
          <w:tcPr>
            <w:tcW w:w="4962" w:type="dxa"/>
            <w:noWrap/>
            <w:vAlign w:val="center"/>
          </w:tcPr>
          <w:p>
            <w:pPr>
              <w:jc w:val="center"/>
              <w:rPr>
                <w:b/>
                <w:color w:val="auto"/>
                <w:sz w:val="24"/>
                <w:szCs w:val="24"/>
                <w:highlight w:val="none"/>
              </w:rPr>
            </w:pPr>
            <w:r>
              <w:rPr>
                <w:rFonts w:hint="eastAsia"/>
                <w:b/>
                <w:color w:val="auto"/>
                <w:sz w:val="24"/>
                <w:szCs w:val="24"/>
                <w:highlight w:val="none"/>
              </w:rPr>
              <w:t>内容</w:t>
            </w:r>
          </w:p>
        </w:tc>
        <w:tc>
          <w:tcPr>
            <w:tcW w:w="1736" w:type="dxa"/>
            <w:noWrap/>
            <w:vAlign w:val="center"/>
          </w:tcPr>
          <w:p>
            <w:pPr>
              <w:jc w:val="center"/>
              <w:rPr>
                <w:b/>
                <w:color w:val="auto"/>
                <w:sz w:val="24"/>
                <w:szCs w:val="24"/>
                <w:highlight w:val="none"/>
              </w:rPr>
            </w:pPr>
            <w:r>
              <w:rPr>
                <w:rFonts w:hint="eastAsia"/>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9" w:hRule="atLeast"/>
          <w:jc w:val="center"/>
        </w:trPr>
        <w:tc>
          <w:tcPr>
            <w:tcW w:w="441" w:type="dxa"/>
            <w:noWrap/>
            <w:vAlign w:val="center"/>
          </w:tcPr>
          <w:p>
            <w:pPr>
              <w:jc w:val="center"/>
              <w:rPr>
                <w:color w:val="auto"/>
                <w:sz w:val="24"/>
                <w:szCs w:val="24"/>
                <w:highlight w:val="none"/>
              </w:rPr>
            </w:pPr>
            <w:r>
              <w:rPr>
                <w:rFonts w:hint="eastAsia"/>
                <w:color w:val="auto"/>
                <w:sz w:val="24"/>
                <w:szCs w:val="24"/>
                <w:highlight w:val="none"/>
              </w:rPr>
              <w:t>1</w:t>
            </w:r>
          </w:p>
        </w:tc>
        <w:tc>
          <w:tcPr>
            <w:tcW w:w="1240" w:type="dxa"/>
            <w:noWrap/>
            <w:vAlign w:val="center"/>
          </w:tcPr>
          <w:p>
            <w:pPr>
              <w:jc w:val="center"/>
              <w:rPr>
                <w:color w:val="auto"/>
                <w:sz w:val="24"/>
                <w:szCs w:val="24"/>
                <w:highlight w:val="none"/>
              </w:rPr>
            </w:pPr>
            <w:r>
              <w:rPr>
                <w:rFonts w:hint="eastAsia"/>
                <w:color w:val="auto"/>
                <w:sz w:val="24"/>
                <w:szCs w:val="24"/>
                <w:highlight w:val="none"/>
              </w:rPr>
              <w:t>比选报价（20%）</w:t>
            </w:r>
          </w:p>
        </w:tc>
        <w:tc>
          <w:tcPr>
            <w:tcW w:w="1275" w:type="dxa"/>
            <w:noWrap/>
            <w:vAlign w:val="center"/>
          </w:tcPr>
          <w:p>
            <w:pPr>
              <w:jc w:val="center"/>
              <w:rPr>
                <w:color w:val="auto"/>
                <w:sz w:val="24"/>
                <w:szCs w:val="24"/>
                <w:highlight w:val="none"/>
              </w:rPr>
            </w:pPr>
            <w:r>
              <w:rPr>
                <w:rFonts w:hint="eastAsia"/>
                <w:color w:val="auto"/>
                <w:sz w:val="24"/>
                <w:szCs w:val="24"/>
                <w:highlight w:val="none"/>
              </w:rPr>
              <w:t>20分</w:t>
            </w:r>
          </w:p>
        </w:tc>
        <w:tc>
          <w:tcPr>
            <w:tcW w:w="4962" w:type="dxa"/>
            <w:noWrap/>
            <w:vAlign w:val="center"/>
          </w:tcPr>
          <w:p>
            <w:pPr>
              <w:ind w:left="126" w:leftChars="45" w:right="126" w:rightChars="45" w:firstLine="480" w:firstLineChars="200"/>
              <w:rPr>
                <w:rFonts w:ascii="宋体" w:hAnsi="宋体"/>
                <w:color w:val="auto"/>
                <w:sz w:val="24"/>
                <w:szCs w:val="24"/>
                <w:highlight w:val="none"/>
              </w:rPr>
            </w:pPr>
            <w:r>
              <w:rPr>
                <w:rFonts w:hint="eastAsia" w:ascii="宋体" w:hAnsi="宋体"/>
                <w:color w:val="auto"/>
                <w:sz w:val="24"/>
                <w:szCs w:val="24"/>
                <w:highlight w:val="none"/>
              </w:rPr>
              <w:t>对满足资格、符合性的要求的竞选人的报价与评选基准价相比，每增加1%扣1分，每减少1%扣0.8分。具体分值采用插入法计算，保留小数点后两位，第三位四舍五入。</w:t>
            </w:r>
          </w:p>
          <w:p>
            <w:pPr>
              <w:ind w:left="126" w:leftChars="45" w:right="126" w:rightChars="45" w:firstLine="480" w:firstLineChars="200"/>
              <w:rPr>
                <w:rFonts w:ascii="宋体" w:hAnsi="宋体"/>
                <w:color w:val="auto"/>
                <w:sz w:val="24"/>
                <w:szCs w:val="24"/>
                <w:highlight w:val="none"/>
              </w:rPr>
            </w:pPr>
            <w:r>
              <w:rPr>
                <w:rFonts w:hint="eastAsia" w:ascii="宋体" w:hAnsi="宋体"/>
                <w:color w:val="auto"/>
                <w:sz w:val="24"/>
                <w:szCs w:val="24"/>
                <w:highlight w:val="none"/>
              </w:rPr>
              <w:t>评选基准价：通过资格及符合性审查的报价中去掉六分之一（不能整除的按小数前整数取整，不足六家报价则不去掉）的最低价和相同家数的最高价后的算术平均值即为评选基准价。</w:t>
            </w:r>
          </w:p>
        </w:tc>
        <w:tc>
          <w:tcPr>
            <w:tcW w:w="1736" w:type="dxa"/>
            <w:noWrap/>
            <w:vAlign w:val="center"/>
          </w:tcPr>
          <w:p>
            <w:pPr>
              <w:ind w:left="126" w:leftChars="45" w:right="160" w:rightChars="57"/>
              <w:rPr>
                <w:color w:val="auto"/>
                <w:sz w:val="24"/>
                <w:szCs w:val="24"/>
                <w:highlight w:val="none"/>
              </w:rPr>
            </w:pPr>
            <w:r>
              <w:rPr>
                <w:rFonts w:hint="eastAsia" w:ascii="宋体" w:hAnsi="宋体"/>
                <w:color w:val="auto"/>
                <w:sz w:val="24"/>
                <w:szCs w:val="24"/>
                <w:highlight w:val="none"/>
              </w:rPr>
              <w:t>得分保留小数点后两位，四舍五入。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7" w:hRule="atLeast"/>
          <w:jc w:val="center"/>
        </w:trPr>
        <w:tc>
          <w:tcPr>
            <w:tcW w:w="441" w:type="dxa"/>
            <w:vMerge w:val="restart"/>
            <w:noWrap/>
            <w:vAlign w:val="center"/>
          </w:tcPr>
          <w:p>
            <w:pPr>
              <w:jc w:val="center"/>
              <w:rPr>
                <w:color w:val="auto"/>
                <w:sz w:val="24"/>
                <w:szCs w:val="24"/>
                <w:highlight w:val="none"/>
              </w:rPr>
            </w:pPr>
            <w:r>
              <w:rPr>
                <w:rFonts w:hint="eastAsia"/>
                <w:color w:val="auto"/>
                <w:sz w:val="24"/>
                <w:szCs w:val="24"/>
                <w:highlight w:val="none"/>
              </w:rPr>
              <w:t>2</w:t>
            </w:r>
          </w:p>
        </w:tc>
        <w:tc>
          <w:tcPr>
            <w:tcW w:w="1240" w:type="dxa"/>
            <w:vMerge w:val="restart"/>
            <w:noWrap/>
            <w:vAlign w:val="center"/>
          </w:tcPr>
          <w:p>
            <w:pPr>
              <w:jc w:val="center"/>
              <w:rPr>
                <w:color w:val="auto"/>
                <w:sz w:val="24"/>
                <w:szCs w:val="24"/>
                <w:highlight w:val="none"/>
              </w:rPr>
            </w:pPr>
            <w:r>
              <w:rPr>
                <w:rFonts w:hint="eastAsia"/>
                <w:color w:val="auto"/>
                <w:sz w:val="24"/>
                <w:szCs w:val="24"/>
                <w:highlight w:val="none"/>
              </w:rPr>
              <w:t>服务部分</w:t>
            </w:r>
          </w:p>
          <w:p>
            <w:pPr>
              <w:jc w:val="center"/>
              <w:rPr>
                <w:color w:val="auto"/>
                <w:sz w:val="24"/>
                <w:szCs w:val="24"/>
                <w:highlight w:val="none"/>
              </w:rPr>
            </w:pPr>
            <w:r>
              <w:rPr>
                <w:rFonts w:hint="eastAsia"/>
                <w:color w:val="auto"/>
                <w:sz w:val="24"/>
                <w:szCs w:val="24"/>
                <w:highlight w:val="none"/>
              </w:rPr>
              <w:t>（60%）</w:t>
            </w:r>
          </w:p>
        </w:tc>
        <w:tc>
          <w:tcPr>
            <w:tcW w:w="1275" w:type="dxa"/>
            <w:tcBorders>
              <w:bottom w:val="single" w:color="000000" w:sz="4" w:space="0"/>
            </w:tcBorders>
            <w:noWrap/>
            <w:vAlign w:val="center"/>
          </w:tcPr>
          <w:p>
            <w:pPr>
              <w:jc w:val="center"/>
              <w:rPr>
                <w:color w:val="auto"/>
                <w:sz w:val="24"/>
                <w:szCs w:val="24"/>
                <w:highlight w:val="none"/>
              </w:rPr>
            </w:pPr>
            <w:r>
              <w:rPr>
                <w:rFonts w:hint="eastAsia"/>
                <w:color w:val="auto"/>
                <w:sz w:val="24"/>
                <w:szCs w:val="24"/>
                <w:highlight w:val="none"/>
              </w:rPr>
              <w:t>总体方案</w:t>
            </w:r>
          </w:p>
          <w:p>
            <w:pPr>
              <w:jc w:val="center"/>
              <w:rPr>
                <w:color w:val="auto"/>
                <w:sz w:val="24"/>
                <w:szCs w:val="24"/>
                <w:highlight w:val="none"/>
              </w:rPr>
            </w:pPr>
            <w:r>
              <w:rPr>
                <w:rFonts w:hint="eastAsia"/>
                <w:color w:val="auto"/>
                <w:sz w:val="24"/>
                <w:szCs w:val="24"/>
                <w:highlight w:val="none"/>
              </w:rPr>
              <w:t>（2</w:t>
            </w:r>
            <w:r>
              <w:rPr>
                <w:rFonts w:hint="eastAsia" w:ascii="宋体" w:hAnsi="宋体"/>
                <w:color w:val="auto"/>
                <w:sz w:val="24"/>
                <w:szCs w:val="24"/>
                <w:highlight w:val="none"/>
              </w:rPr>
              <w:t>0</w:t>
            </w:r>
            <w:r>
              <w:rPr>
                <w:rFonts w:hint="eastAsia"/>
                <w:color w:val="auto"/>
                <w:sz w:val="24"/>
                <w:szCs w:val="24"/>
                <w:highlight w:val="none"/>
              </w:rPr>
              <w:t>分）</w:t>
            </w:r>
          </w:p>
        </w:tc>
        <w:tc>
          <w:tcPr>
            <w:tcW w:w="4962" w:type="dxa"/>
            <w:tcBorders>
              <w:bottom w:val="single" w:color="000000" w:sz="4" w:space="0"/>
            </w:tcBorders>
            <w:noWrap/>
            <w:vAlign w:val="center"/>
          </w:tcPr>
          <w:p>
            <w:pPr>
              <w:ind w:right="126" w:rightChars="45"/>
              <w:rPr>
                <w:rFonts w:ascii="宋体" w:hAnsi="宋体"/>
                <w:color w:val="auto"/>
                <w:sz w:val="24"/>
                <w:szCs w:val="24"/>
                <w:highlight w:val="none"/>
              </w:rPr>
            </w:pPr>
            <w:r>
              <w:rPr>
                <w:rFonts w:hint="eastAsia" w:ascii="宋体" w:hAnsi="宋体"/>
                <w:color w:val="auto"/>
                <w:sz w:val="24"/>
                <w:szCs w:val="24"/>
                <w:highlight w:val="none"/>
              </w:rPr>
              <w:t>针对本项目提供完整的运营策划、平台建设等服务方案。</w:t>
            </w:r>
          </w:p>
          <w:p>
            <w:pPr>
              <w:ind w:right="126" w:rightChars="45"/>
              <w:rPr>
                <w:rFonts w:ascii="宋体" w:hAnsi="宋体"/>
                <w:color w:val="auto"/>
                <w:sz w:val="24"/>
                <w:szCs w:val="24"/>
                <w:highlight w:val="none"/>
              </w:rPr>
            </w:pPr>
            <w:r>
              <w:rPr>
                <w:rFonts w:hint="eastAsia" w:ascii="宋体" w:hAnsi="宋体"/>
                <w:color w:val="auto"/>
                <w:sz w:val="24"/>
                <w:szCs w:val="24"/>
                <w:highlight w:val="none"/>
              </w:rPr>
              <w:t>方案非常合理、针对性强、非常全面可行的得20分；较合理、针对性较强、较全面、较可行的得14分；方案不够合理、针对性不够强、不够全面、不够可行的得8分；方案不合理、针对性不强、不全面、不可行的得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未提供或言之无物</w:t>
            </w:r>
            <w:r>
              <w:rPr>
                <w:rFonts w:hint="eastAsia" w:ascii="宋体" w:hAnsi="宋体"/>
                <w:color w:val="auto"/>
                <w:sz w:val="24"/>
                <w:szCs w:val="24"/>
                <w:highlight w:val="none"/>
              </w:rPr>
              <w:t>不得分。</w:t>
            </w:r>
          </w:p>
        </w:tc>
        <w:tc>
          <w:tcPr>
            <w:tcW w:w="1736" w:type="dxa"/>
            <w:vMerge w:val="restart"/>
            <w:noWrap/>
            <w:vAlign w:val="center"/>
          </w:tcPr>
          <w:p>
            <w:pPr>
              <w:ind w:right="126" w:rightChars="45"/>
              <w:rPr>
                <w:rFonts w:ascii="宋体" w:hAnsi="宋体"/>
                <w:color w:val="auto"/>
                <w:sz w:val="24"/>
                <w:szCs w:val="24"/>
                <w:highlight w:val="none"/>
              </w:rPr>
            </w:pPr>
            <w:r>
              <w:rPr>
                <w:rFonts w:hint="eastAsia" w:ascii="宋体" w:hAnsi="宋体"/>
                <w:color w:val="auto"/>
                <w:sz w:val="24"/>
                <w:szCs w:val="24"/>
                <w:highlight w:val="none"/>
              </w:rPr>
              <w:t>评选小组对竞选单位所提供的服务方案独立评分。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jc w:val="center"/>
        </w:trPr>
        <w:tc>
          <w:tcPr>
            <w:tcW w:w="441" w:type="dxa"/>
            <w:vMerge w:val="continue"/>
            <w:noWrap/>
            <w:vAlign w:val="center"/>
          </w:tcPr>
          <w:p>
            <w:pPr>
              <w:jc w:val="center"/>
              <w:rPr>
                <w:color w:val="auto"/>
                <w:sz w:val="24"/>
                <w:szCs w:val="24"/>
                <w:highlight w:val="none"/>
              </w:rPr>
            </w:pPr>
          </w:p>
        </w:tc>
        <w:tc>
          <w:tcPr>
            <w:tcW w:w="1240" w:type="dxa"/>
            <w:vMerge w:val="continue"/>
            <w:noWrap/>
            <w:vAlign w:val="center"/>
          </w:tcPr>
          <w:p>
            <w:pPr>
              <w:jc w:val="center"/>
              <w:rPr>
                <w:color w:val="auto"/>
                <w:sz w:val="24"/>
                <w:szCs w:val="24"/>
                <w:highlight w:val="none"/>
              </w:rPr>
            </w:pPr>
          </w:p>
        </w:tc>
        <w:tc>
          <w:tcPr>
            <w:tcW w:w="1275" w:type="dxa"/>
            <w:noWrap/>
            <w:vAlign w:val="center"/>
          </w:tcPr>
          <w:p>
            <w:pPr>
              <w:jc w:val="center"/>
              <w:rPr>
                <w:color w:val="auto"/>
                <w:sz w:val="24"/>
                <w:szCs w:val="24"/>
                <w:highlight w:val="none"/>
              </w:rPr>
            </w:pPr>
            <w:r>
              <w:rPr>
                <w:rFonts w:hint="eastAsia"/>
                <w:color w:val="auto"/>
                <w:sz w:val="24"/>
                <w:szCs w:val="24"/>
                <w:highlight w:val="none"/>
              </w:rPr>
              <w:t>功能模块</w:t>
            </w:r>
          </w:p>
          <w:p>
            <w:pPr>
              <w:jc w:val="center"/>
              <w:rPr>
                <w:color w:val="auto"/>
                <w:highlight w:val="none"/>
              </w:rPr>
            </w:pPr>
            <w:r>
              <w:rPr>
                <w:rFonts w:hint="eastAsia"/>
                <w:color w:val="auto"/>
                <w:sz w:val="24"/>
                <w:szCs w:val="24"/>
                <w:highlight w:val="none"/>
              </w:rPr>
              <w:t>（20分）</w:t>
            </w:r>
          </w:p>
        </w:tc>
        <w:tc>
          <w:tcPr>
            <w:tcW w:w="4962" w:type="dxa"/>
            <w:noWrap/>
            <w:vAlign w:val="center"/>
          </w:tcPr>
          <w:p>
            <w:pPr>
              <w:ind w:right="126" w:rightChars="45"/>
              <w:rPr>
                <w:rFonts w:hint="default" w:ascii="宋体" w:hAnsi="宋体"/>
                <w:color w:val="auto"/>
                <w:sz w:val="24"/>
                <w:szCs w:val="24"/>
                <w:highlight w:val="none"/>
                <w:lang w:val="en-US"/>
              </w:rPr>
            </w:pPr>
            <w:r>
              <w:rPr>
                <w:rFonts w:hint="eastAsia" w:ascii="宋体" w:hAnsi="宋体"/>
                <w:color w:val="auto"/>
                <w:sz w:val="24"/>
                <w:szCs w:val="24"/>
                <w:highlight w:val="none"/>
              </w:rPr>
              <w:t>网站功能</w:t>
            </w:r>
            <w:r>
              <w:rPr>
                <w:rFonts w:hint="eastAsia" w:ascii="宋体" w:hAnsi="宋体"/>
                <w:color w:val="auto"/>
                <w:sz w:val="24"/>
                <w:szCs w:val="24"/>
                <w:highlight w:val="none"/>
                <w:lang w:val="en-US" w:eastAsia="zh-CN"/>
              </w:rPr>
              <w:t>及信息量</w:t>
            </w:r>
            <w:r>
              <w:rPr>
                <w:rFonts w:hint="eastAsia" w:ascii="宋体" w:hAnsi="宋体"/>
                <w:color w:val="auto"/>
                <w:sz w:val="24"/>
                <w:szCs w:val="24"/>
                <w:highlight w:val="none"/>
              </w:rPr>
              <w:t>完备，架构清晰，充分满足官网建设需求</w:t>
            </w:r>
            <w:r>
              <w:rPr>
                <w:rFonts w:hint="eastAsia" w:ascii="宋体" w:hAnsi="宋体"/>
                <w:color w:val="auto"/>
                <w:sz w:val="24"/>
                <w:szCs w:val="24"/>
                <w:highlight w:val="none"/>
                <w:lang w:val="en-US" w:eastAsia="zh-CN"/>
              </w:rPr>
              <w:t>得20</w:t>
            </w:r>
            <w:r>
              <w:rPr>
                <w:rFonts w:hint="eastAsia" w:ascii="宋体" w:hAnsi="宋体"/>
                <w:color w:val="auto"/>
                <w:sz w:val="24"/>
                <w:szCs w:val="24"/>
                <w:highlight w:val="none"/>
              </w:rPr>
              <w:t>分；网站功能</w:t>
            </w:r>
            <w:r>
              <w:rPr>
                <w:rFonts w:hint="eastAsia" w:ascii="宋体" w:hAnsi="宋体"/>
                <w:color w:val="auto"/>
                <w:sz w:val="24"/>
                <w:szCs w:val="24"/>
                <w:highlight w:val="none"/>
                <w:lang w:val="en-US" w:eastAsia="zh-CN"/>
              </w:rPr>
              <w:t>及信息量较</w:t>
            </w:r>
            <w:r>
              <w:rPr>
                <w:rFonts w:hint="eastAsia" w:ascii="宋体" w:hAnsi="宋体"/>
                <w:color w:val="auto"/>
                <w:sz w:val="24"/>
                <w:szCs w:val="24"/>
                <w:highlight w:val="none"/>
              </w:rPr>
              <w:t>完备，但架构不清晰，或有遗漏</w:t>
            </w:r>
            <w:r>
              <w:rPr>
                <w:rFonts w:hint="eastAsia" w:ascii="宋体" w:hAnsi="宋体"/>
                <w:color w:val="auto"/>
                <w:sz w:val="24"/>
                <w:szCs w:val="24"/>
                <w:highlight w:val="none"/>
                <w:lang w:val="en-US" w:eastAsia="zh-CN"/>
              </w:rPr>
              <w:t>得</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分；网站</w:t>
            </w:r>
            <w:r>
              <w:rPr>
                <w:rFonts w:hint="eastAsia" w:ascii="宋体" w:hAnsi="宋体"/>
                <w:color w:val="auto"/>
                <w:sz w:val="24"/>
                <w:szCs w:val="24"/>
                <w:highlight w:val="none"/>
                <w:lang w:val="en-US" w:eastAsia="zh-CN"/>
              </w:rPr>
              <w:t>功能及</w:t>
            </w:r>
            <w:r>
              <w:rPr>
                <w:rFonts w:hint="eastAsia" w:ascii="宋体" w:hAnsi="宋体"/>
                <w:color w:val="auto"/>
                <w:sz w:val="24"/>
                <w:szCs w:val="24"/>
                <w:highlight w:val="none"/>
              </w:rPr>
              <w:t>信息量不</w:t>
            </w:r>
            <w:r>
              <w:rPr>
                <w:rFonts w:hint="eastAsia" w:ascii="宋体" w:hAnsi="宋体"/>
                <w:color w:val="auto"/>
                <w:sz w:val="24"/>
                <w:szCs w:val="24"/>
                <w:highlight w:val="none"/>
                <w:lang w:val="en-US" w:eastAsia="zh-CN"/>
              </w:rPr>
              <w:t>够</w:t>
            </w:r>
            <w:r>
              <w:rPr>
                <w:rFonts w:hint="eastAsia" w:ascii="宋体" w:hAnsi="宋体"/>
                <w:color w:val="auto"/>
                <w:sz w:val="24"/>
                <w:szCs w:val="24"/>
                <w:highlight w:val="none"/>
              </w:rPr>
              <w:t>完整，架构不</w:t>
            </w:r>
            <w:r>
              <w:rPr>
                <w:rFonts w:hint="eastAsia" w:ascii="宋体" w:hAnsi="宋体"/>
                <w:color w:val="auto"/>
                <w:sz w:val="24"/>
                <w:szCs w:val="24"/>
                <w:highlight w:val="none"/>
                <w:lang w:val="en-US" w:eastAsia="zh-CN"/>
              </w:rPr>
              <w:t>够</w:t>
            </w:r>
            <w:r>
              <w:rPr>
                <w:rFonts w:hint="eastAsia" w:ascii="宋体" w:hAnsi="宋体"/>
                <w:color w:val="auto"/>
                <w:sz w:val="24"/>
                <w:szCs w:val="24"/>
                <w:highlight w:val="none"/>
              </w:rPr>
              <w:t>清晰</w:t>
            </w:r>
            <w:r>
              <w:rPr>
                <w:rFonts w:hint="eastAsia" w:ascii="宋体" w:hAnsi="宋体"/>
                <w:color w:val="auto"/>
                <w:sz w:val="24"/>
                <w:szCs w:val="24"/>
                <w:highlight w:val="none"/>
                <w:lang w:val="en-US" w:eastAsia="zh-CN"/>
              </w:rPr>
              <w:t>得10分；网站功能及信息量欠缺较多，架构不清晰或仅提出一点大纲得5分；未提供不得分。</w:t>
            </w:r>
          </w:p>
        </w:tc>
        <w:tc>
          <w:tcPr>
            <w:tcW w:w="1736" w:type="dxa"/>
            <w:vMerge w:val="continue"/>
            <w:noWrap/>
            <w:vAlign w:val="center"/>
          </w:tcPr>
          <w:p>
            <w:pPr>
              <w:ind w:left="126" w:leftChars="45" w:right="126" w:rightChars="45"/>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41" w:type="dxa"/>
            <w:vMerge w:val="continue"/>
            <w:noWrap/>
            <w:vAlign w:val="center"/>
          </w:tcPr>
          <w:p>
            <w:pPr>
              <w:jc w:val="center"/>
              <w:rPr>
                <w:color w:val="auto"/>
                <w:sz w:val="24"/>
                <w:szCs w:val="24"/>
                <w:highlight w:val="none"/>
              </w:rPr>
            </w:pPr>
          </w:p>
        </w:tc>
        <w:tc>
          <w:tcPr>
            <w:tcW w:w="1240" w:type="dxa"/>
            <w:vMerge w:val="continue"/>
            <w:noWrap/>
            <w:vAlign w:val="center"/>
          </w:tcPr>
          <w:p>
            <w:pPr>
              <w:jc w:val="center"/>
              <w:rPr>
                <w:color w:val="auto"/>
                <w:sz w:val="24"/>
                <w:szCs w:val="24"/>
                <w:highlight w:val="none"/>
              </w:rPr>
            </w:pPr>
          </w:p>
        </w:tc>
        <w:tc>
          <w:tcPr>
            <w:tcW w:w="1275" w:type="dxa"/>
            <w:noWrap/>
            <w:vAlign w:val="center"/>
          </w:tcPr>
          <w:p>
            <w:pPr>
              <w:ind w:firstLine="28"/>
              <w:jc w:val="center"/>
              <w:rPr>
                <w:rFonts w:ascii="宋体" w:hAnsi="宋体"/>
                <w:color w:val="auto"/>
                <w:sz w:val="24"/>
                <w:szCs w:val="24"/>
                <w:highlight w:val="none"/>
              </w:rPr>
            </w:pPr>
            <w:r>
              <w:rPr>
                <w:rFonts w:hint="eastAsia" w:ascii="宋体" w:hAnsi="宋体"/>
                <w:color w:val="auto"/>
                <w:sz w:val="24"/>
                <w:szCs w:val="24"/>
                <w:highlight w:val="none"/>
              </w:rPr>
              <w:t>时间控制（10分）</w:t>
            </w:r>
          </w:p>
        </w:tc>
        <w:tc>
          <w:tcPr>
            <w:tcW w:w="4962" w:type="dxa"/>
            <w:noWrap/>
            <w:vAlign w:val="center"/>
          </w:tcPr>
          <w:p>
            <w:pPr>
              <w:ind w:right="126" w:rightChars="45"/>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开发周期</w:t>
            </w:r>
            <w:r>
              <w:rPr>
                <w:rFonts w:hint="eastAsia" w:ascii="宋体" w:hAnsi="宋体"/>
                <w:color w:val="auto"/>
                <w:sz w:val="24"/>
                <w:szCs w:val="24"/>
                <w:highlight w:val="none"/>
                <w:lang w:val="en-US" w:eastAsia="zh-CN"/>
              </w:rPr>
              <w:t>流程</w:t>
            </w:r>
            <w:r>
              <w:rPr>
                <w:rFonts w:hint="eastAsia" w:ascii="宋体" w:hAnsi="宋体"/>
                <w:color w:val="auto"/>
                <w:sz w:val="24"/>
                <w:szCs w:val="24"/>
                <w:highlight w:val="none"/>
              </w:rPr>
              <w:t>合理, 可按时间节点完成网站设计</w:t>
            </w:r>
            <w:r>
              <w:rPr>
                <w:rFonts w:hint="eastAsia" w:ascii="宋体" w:hAnsi="宋体"/>
                <w:color w:val="auto"/>
                <w:sz w:val="24"/>
                <w:szCs w:val="24"/>
                <w:highlight w:val="none"/>
                <w:lang w:val="en-US" w:eastAsia="zh-CN"/>
              </w:rPr>
              <w:t>得10分；开发周期</w:t>
            </w:r>
            <w:r>
              <w:rPr>
                <w:rFonts w:hint="eastAsia" w:ascii="宋体" w:hAnsi="宋体"/>
                <w:color w:val="auto"/>
                <w:sz w:val="24"/>
                <w:szCs w:val="24"/>
                <w:highlight w:val="none"/>
              </w:rPr>
              <w:t>流程基本合理, 时间节点把控有</w:t>
            </w:r>
            <w:r>
              <w:rPr>
                <w:rFonts w:hint="eastAsia" w:ascii="宋体" w:hAnsi="宋体"/>
                <w:color w:val="auto"/>
                <w:sz w:val="24"/>
                <w:szCs w:val="24"/>
                <w:highlight w:val="none"/>
                <w:lang w:val="en-US" w:eastAsia="zh-CN"/>
              </w:rPr>
              <w:t>些许</w:t>
            </w:r>
            <w:r>
              <w:rPr>
                <w:rFonts w:hint="eastAsia" w:ascii="宋体" w:hAnsi="宋体"/>
                <w:color w:val="auto"/>
                <w:sz w:val="24"/>
                <w:szCs w:val="24"/>
                <w:highlight w:val="none"/>
              </w:rPr>
              <w:t>遗漏</w:t>
            </w:r>
            <w:r>
              <w:rPr>
                <w:rFonts w:hint="eastAsia" w:ascii="宋体" w:hAnsi="宋体"/>
                <w:color w:val="auto"/>
                <w:sz w:val="24"/>
                <w:szCs w:val="24"/>
                <w:highlight w:val="none"/>
                <w:lang w:val="en-US" w:eastAsia="zh-CN"/>
              </w:rPr>
              <w:t>得7分；</w:t>
            </w:r>
            <w:r>
              <w:rPr>
                <w:rFonts w:hint="eastAsia" w:ascii="宋体" w:hAnsi="宋体"/>
                <w:color w:val="auto"/>
                <w:sz w:val="24"/>
                <w:szCs w:val="24"/>
                <w:highlight w:val="none"/>
              </w:rPr>
              <w:t>流程不</w:t>
            </w:r>
            <w:r>
              <w:rPr>
                <w:rFonts w:hint="eastAsia" w:ascii="宋体" w:hAnsi="宋体"/>
                <w:color w:val="auto"/>
                <w:sz w:val="24"/>
                <w:szCs w:val="24"/>
                <w:highlight w:val="none"/>
                <w:lang w:val="en-US" w:eastAsia="zh-CN"/>
              </w:rPr>
              <w:t>够</w:t>
            </w:r>
            <w:r>
              <w:rPr>
                <w:rFonts w:hint="eastAsia" w:ascii="宋体" w:hAnsi="宋体"/>
                <w:color w:val="auto"/>
                <w:sz w:val="24"/>
                <w:szCs w:val="24"/>
                <w:highlight w:val="none"/>
              </w:rPr>
              <w:t>合理,</w:t>
            </w:r>
            <w:r>
              <w:rPr>
                <w:rFonts w:hint="eastAsia" w:ascii="宋体" w:hAnsi="宋体"/>
                <w:color w:val="auto"/>
                <w:sz w:val="24"/>
                <w:szCs w:val="24"/>
                <w:highlight w:val="none"/>
                <w:lang w:val="en-US" w:eastAsia="zh-CN"/>
              </w:rPr>
              <w:t>对时间节点把握不够有力得4分；</w:t>
            </w:r>
            <w:r>
              <w:rPr>
                <w:rFonts w:hint="eastAsia" w:ascii="宋体" w:hAnsi="宋体"/>
                <w:color w:val="auto"/>
                <w:sz w:val="24"/>
                <w:szCs w:val="24"/>
                <w:highlight w:val="none"/>
              </w:rPr>
              <w:t>无法按时间节点完成</w:t>
            </w:r>
            <w:r>
              <w:rPr>
                <w:rFonts w:hint="eastAsia" w:ascii="宋体" w:hAnsi="宋体"/>
                <w:color w:val="auto"/>
                <w:sz w:val="24"/>
                <w:szCs w:val="24"/>
                <w:highlight w:val="none"/>
                <w:lang w:val="en-US" w:eastAsia="zh-CN"/>
              </w:rPr>
              <w:t>不得分。</w:t>
            </w:r>
          </w:p>
        </w:tc>
        <w:tc>
          <w:tcPr>
            <w:tcW w:w="1736" w:type="dxa"/>
            <w:vMerge w:val="continue"/>
            <w:noWrap/>
            <w:vAlign w:val="center"/>
          </w:tcPr>
          <w:p>
            <w:pPr>
              <w:ind w:left="126" w:leftChars="45" w:right="126" w:rightChars="45"/>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jc w:val="center"/>
        </w:trPr>
        <w:tc>
          <w:tcPr>
            <w:tcW w:w="441" w:type="dxa"/>
            <w:vMerge w:val="continue"/>
            <w:noWrap/>
            <w:vAlign w:val="center"/>
          </w:tcPr>
          <w:p>
            <w:pPr>
              <w:jc w:val="center"/>
              <w:rPr>
                <w:color w:val="auto"/>
                <w:sz w:val="24"/>
                <w:szCs w:val="24"/>
                <w:highlight w:val="none"/>
              </w:rPr>
            </w:pPr>
          </w:p>
        </w:tc>
        <w:tc>
          <w:tcPr>
            <w:tcW w:w="1240" w:type="dxa"/>
            <w:vMerge w:val="continue"/>
            <w:noWrap/>
            <w:vAlign w:val="center"/>
          </w:tcPr>
          <w:p>
            <w:pPr>
              <w:jc w:val="center"/>
              <w:rPr>
                <w:color w:val="auto"/>
                <w:sz w:val="24"/>
                <w:szCs w:val="24"/>
                <w:highlight w:val="none"/>
              </w:rPr>
            </w:pPr>
          </w:p>
        </w:tc>
        <w:tc>
          <w:tcPr>
            <w:tcW w:w="1275" w:type="dxa"/>
            <w:noWrap/>
            <w:vAlign w:val="center"/>
          </w:tcPr>
          <w:p>
            <w:pPr>
              <w:spacing w:line="320" w:lineRule="exact"/>
              <w:jc w:val="center"/>
              <w:rPr>
                <w:rFonts w:ascii="宋体" w:hAnsi="宋体"/>
                <w:color w:val="auto"/>
                <w:sz w:val="24"/>
                <w:szCs w:val="24"/>
                <w:highlight w:val="none"/>
              </w:rPr>
            </w:pPr>
            <w:r>
              <w:rPr>
                <w:rFonts w:hint="eastAsia" w:ascii="宋体" w:hAnsi="宋体"/>
                <w:color w:val="auto"/>
                <w:sz w:val="24"/>
                <w:szCs w:val="24"/>
                <w:highlight w:val="none"/>
              </w:rPr>
              <w:t>建设保障</w:t>
            </w:r>
          </w:p>
          <w:p>
            <w:pPr>
              <w:pStyle w:val="4"/>
              <w:jc w:val="center"/>
              <w:rPr>
                <w:color w:val="auto"/>
                <w:highlight w:val="none"/>
              </w:rPr>
            </w:pPr>
            <w:bookmarkStart w:id="90" w:name="_Toc22702"/>
            <w:bookmarkStart w:id="91" w:name="_Toc862"/>
            <w:bookmarkStart w:id="92" w:name="_Toc12161"/>
            <w:r>
              <w:rPr>
                <w:rFonts w:hint="eastAsia" w:hAnsi="宋体"/>
                <w:color w:val="auto"/>
                <w:sz w:val="24"/>
                <w:szCs w:val="24"/>
                <w:highlight w:val="none"/>
              </w:rPr>
              <w:t>（10分）</w:t>
            </w:r>
            <w:bookmarkEnd w:id="90"/>
            <w:bookmarkEnd w:id="91"/>
            <w:bookmarkEnd w:id="92"/>
          </w:p>
          <w:p>
            <w:pPr>
              <w:ind w:firstLine="28"/>
              <w:jc w:val="center"/>
              <w:rPr>
                <w:rFonts w:ascii="宋体" w:hAnsi="宋体"/>
                <w:color w:val="auto"/>
                <w:sz w:val="24"/>
                <w:szCs w:val="24"/>
                <w:highlight w:val="none"/>
              </w:rPr>
            </w:pPr>
          </w:p>
        </w:tc>
        <w:tc>
          <w:tcPr>
            <w:tcW w:w="4962" w:type="dxa"/>
            <w:noWrap/>
            <w:vAlign w:val="center"/>
          </w:tcPr>
          <w:p>
            <w:pPr>
              <w:ind w:right="126" w:rightChars="45"/>
              <w:rPr>
                <w:rFonts w:ascii="宋体" w:hAnsi="宋体"/>
                <w:color w:val="auto"/>
                <w:sz w:val="24"/>
                <w:szCs w:val="24"/>
                <w:highlight w:val="none"/>
              </w:rPr>
            </w:pPr>
            <w:r>
              <w:rPr>
                <w:rFonts w:hint="eastAsia" w:ascii="宋体" w:hAnsi="宋体"/>
                <w:color w:val="auto"/>
                <w:sz w:val="24"/>
                <w:szCs w:val="24"/>
                <w:highlight w:val="none"/>
              </w:rPr>
              <w:t>提供针对本项目日常或后期出现的bug问题能做到及时处理，并有专岗人员进行日常维护。优得10分；良得7分；一般得4分；差</w:t>
            </w:r>
            <w:r>
              <w:rPr>
                <w:rFonts w:hint="eastAsia" w:ascii="宋体" w:hAnsi="宋体"/>
                <w:color w:val="auto"/>
                <w:sz w:val="24"/>
                <w:szCs w:val="24"/>
                <w:highlight w:val="none"/>
                <w:lang w:val="en-US" w:eastAsia="zh-CN"/>
              </w:rPr>
              <w:t>得1分；</w:t>
            </w:r>
            <w:r>
              <w:rPr>
                <w:rFonts w:hint="eastAsia" w:ascii="宋体" w:hAnsi="宋体"/>
                <w:color w:val="auto"/>
                <w:sz w:val="24"/>
                <w:szCs w:val="24"/>
                <w:highlight w:val="none"/>
              </w:rPr>
              <w:t>未提供方案不得分。</w:t>
            </w:r>
          </w:p>
        </w:tc>
        <w:tc>
          <w:tcPr>
            <w:tcW w:w="1736" w:type="dxa"/>
            <w:vMerge w:val="continue"/>
            <w:noWrap/>
            <w:vAlign w:val="center"/>
          </w:tcPr>
          <w:p>
            <w:pPr>
              <w:ind w:left="126" w:leftChars="45" w:right="126" w:rightChars="45"/>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jc w:val="center"/>
        </w:trPr>
        <w:tc>
          <w:tcPr>
            <w:tcW w:w="441" w:type="dxa"/>
            <w:noWrap/>
            <w:vAlign w:val="center"/>
          </w:tcPr>
          <w:p>
            <w:pPr>
              <w:jc w:val="center"/>
              <w:rPr>
                <w:color w:val="auto"/>
                <w:sz w:val="24"/>
                <w:szCs w:val="24"/>
                <w:highlight w:val="none"/>
              </w:rPr>
            </w:pPr>
            <w:r>
              <w:rPr>
                <w:rFonts w:hint="eastAsia"/>
                <w:color w:val="auto"/>
                <w:sz w:val="24"/>
                <w:szCs w:val="24"/>
                <w:highlight w:val="none"/>
              </w:rPr>
              <w:t>3</w:t>
            </w:r>
          </w:p>
        </w:tc>
        <w:tc>
          <w:tcPr>
            <w:tcW w:w="1240" w:type="dxa"/>
            <w:noWrap/>
            <w:vAlign w:val="center"/>
          </w:tcPr>
          <w:p>
            <w:pPr>
              <w:jc w:val="center"/>
              <w:rPr>
                <w:color w:val="auto"/>
                <w:sz w:val="24"/>
                <w:szCs w:val="24"/>
                <w:highlight w:val="none"/>
              </w:rPr>
            </w:pPr>
            <w:r>
              <w:rPr>
                <w:rFonts w:hint="eastAsia"/>
                <w:color w:val="auto"/>
                <w:sz w:val="24"/>
                <w:szCs w:val="24"/>
                <w:highlight w:val="none"/>
              </w:rPr>
              <w:t>商务部分（20%）</w:t>
            </w:r>
          </w:p>
        </w:tc>
        <w:tc>
          <w:tcPr>
            <w:tcW w:w="1275" w:type="dxa"/>
            <w:noWrap/>
            <w:vAlign w:val="center"/>
          </w:tcPr>
          <w:p>
            <w:pPr>
              <w:ind w:firstLine="28"/>
              <w:jc w:val="center"/>
              <w:rPr>
                <w:rFonts w:ascii="宋体" w:hAnsi="宋体"/>
                <w:color w:val="auto"/>
                <w:sz w:val="24"/>
                <w:szCs w:val="24"/>
                <w:highlight w:val="none"/>
              </w:rPr>
            </w:pPr>
            <w:r>
              <w:rPr>
                <w:rFonts w:hint="eastAsia" w:ascii="宋体" w:hAnsi="宋体"/>
                <w:color w:val="auto"/>
                <w:sz w:val="24"/>
                <w:szCs w:val="24"/>
                <w:highlight w:val="none"/>
              </w:rPr>
              <w:t>类似</w:t>
            </w:r>
            <w:r>
              <w:rPr>
                <w:rFonts w:hint="eastAsia" w:ascii="宋体" w:hAnsi="宋体"/>
                <w:color w:val="auto"/>
                <w:sz w:val="24"/>
                <w:szCs w:val="24"/>
                <w:highlight w:val="none"/>
                <w:lang w:val="en-US" w:eastAsia="zh-CN"/>
              </w:rPr>
              <w:t>经验案例</w:t>
            </w:r>
            <w:r>
              <w:rPr>
                <w:rFonts w:hint="eastAsia" w:ascii="宋体" w:hAnsi="宋体"/>
                <w:color w:val="auto"/>
                <w:sz w:val="24"/>
                <w:szCs w:val="24"/>
                <w:highlight w:val="none"/>
              </w:rPr>
              <w:t>（20分）</w:t>
            </w:r>
          </w:p>
        </w:tc>
        <w:tc>
          <w:tcPr>
            <w:tcW w:w="4962" w:type="dxa"/>
            <w:noWrap/>
            <w:vAlign w:val="center"/>
          </w:tcPr>
          <w:p>
            <w:pPr>
              <w:ind w:right="126" w:rightChars="45"/>
              <w:rPr>
                <w:rFonts w:ascii="宋体" w:hAnsi="宋体"/>
                <w:color w:val="auto"/>
                <w:sz w:val="24"/>
                <w:szCs w:val="24"/>
                <w:highlight w:val="none"/>
              </w:rPr>
            </w:pPr>
            <w:r>
              <w:rPr>
                <w:rFonts w:hint="eastAsia" w:ascii="宋体" w:hAnsi="宋体"/>
                <w:color w:val="auto"/>
                <w:sz w:val="24"/>
                <w:szCs w:val="24"/>
                <w:highlight w:val="none"/>
              </w:rPr>
              <w:t xml:space="preserve">具有工业互联网开发经验并运营1年以上的得20分；具有平台类建设及1年内运营经验的得13分；有平台建设无运营经验的得6分；无平台建设经验不得分。     </w:t>
            </w:r>
          </w:p>
        </w:tc>
        <w:tc>
          <w:tcPr>
            <w:tcW w:w="1736" w:type="dxa"/>
            <w:noWrap/>
            <w:vAlign w:val="center"/>
          </w:tcPr>
          <w:p>
            <w:pPr>
              <w:ind w:left="126" w:leftChars="45" w:right="126" w:rightChars="45"/>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提供合同或案例介绍图文（图文格式自拟）复印件加盖竞选人公章。</w:t>
            </w:r>
          </w:p>
        </w:tc>
      </w:tr>
    </w:tbl>
    <w:p>
      <w:pPr>
        <w:rPr>
          <w:highlight w:val="none"/>
        </w:rPr>
      </w:pPr>
    </w:p>
    <w:p>
      <w:pPr>
        <w:pStyle w:val="6"/>
        <w:spacing w:before="0" w:after="0" w:line="480" w:lineRule="exact"/>
        <w:rPr>
          <w:rFonts w:ascii="宋体" w:hAnsi="宋体"/>
          <w:color w:val="000000"/>
          <w:sz w:val="28"/>
          <w:szCs w:val="28"/>
          <w:highlight w:val="none"/>
        </w:rPr>
      </w:pPr>
      <w:bookmarkStart w:id="93" w:name="_Toc428437947"/>
      <w:bookmarkStart w:id="94" w:name="_Toc25466"/>
      <w:bookmarkStart w:id="95" w:name="_Toc16263"/>
      <w:r>
        <w:rPr>
          <w:rFonts w:hint="eastAsia" w:ascii="宋体" w:hAnsi="宋体"/>
          <w:color w:val="000000"/>
          <w:sz w:val="28"/>
          <w:szCs w:val="28"/>
          <w:highlight w:val="none"/>
        </w:rPr>
        <w:t>三、无效响应</w:t>
      </w:r>
      <w:bookmarkEnd w:id="93"/>
      <w:bookmarkEnd w:id="94"/>
      <w:bookmarkEnd w:id="95"/>
    </w:p>
    <w:p>
      <w:pPr>
        <w:snapToGrid w:val="0"/>
        <w:spacing w:line="440" w:lineRule="exact"/>
        <w:ind w:firstLine="560" w:firstLineChars="200"/>
        <w:rPr>
          <w:rFonts w:ascii="宋体" w:hAnsi="宋体"/>
          <w:color w:val="000000"/>
          <w:szCs w:val="28"/>
          <w:highlight w:val="none"/>
        </w:rPr>
      </w:pPr>
      <w:r>
        <w:rPr>
          <w:rFonts w:hint="eastAsia" w:ascii="宋体" w:hAnsi="宋体"/>
          <w:color w:val="000000"/>
          <w:szCs w:val="28"/>
          <w:highlight w:val="none"/>
        </w:rPr>
        <w:t>竞选人发生以下条款情况之一者，视为无效响应，其竞选文件将被拒绝：</w:t>
      </w:r>
    </w:p>
    <w:p>
      <w:pPr>
        <w:numPr>
          <w:ilvl w:val="0"/>
          <w:numId w:val="3"/>
        </w:numPr>
        <w:snapToGrid w:val="0"/>
        <w:spacing w:line="440" w:lineRule="exact"/>
        <w:ind w:left="0" w:firstLine="560" w:firstLineChars="200"/>
        <w:rPr>
          <w:rFonts w:ascii="宋体" w:hAnsi="宋体"/>
          <w:color w:val="000000"/>
          <w:szCs w:val="28"/>
          <w:highlight w:val="none"/>
        </w:rPr>
      </w:pPr>
      <w:r>
        <w:rPr>
          <w:rFonts w:hint="eastAsia" w:ascii="宋体" w:hAnsi="宋体"/>
          <w:color w:val="000000"/>
          <w:szCs w:val="28"/>
          <w:highlight w:val="none"/>
        </w:rPr>
        <w:t>竞选人未通过资格性检查或竞选文件未通过符合性检查的；</w:t>
      </w:r>
    </w:p>
    <w:p>
      <w:pPr>
        <w:numPr>
          <w:ilvl w:val="0"/>
          <w:numId w:val="3"/>
        </w:numPr>
        <w:snapToGrid w:val="0"/>
        <w:spacing w:line="440" w:lineRule="exact"/>
        <w:ind w:left="0" w:firstLine="560" w:firstLineChars="200"/>
        <w:rPr>
          <w:rFonts w:ascii="宋体" w:hAnsi="宋体"/>
          <w:color w:val="000000"/>
          <w:szCs w:val="28"/>
          <w:highlight w:val="none"/>
        </w:rPr>
      </w:pPr>
      <w:r>
        <w:rPr>
          <w:rFonts w:hint="eastAsia" w:ascii="宋体" w:hAnsi="宋体"/>
          <w:color w:val="000000"/>
          <w:szCs w:val="28"/>
          <w:highlight w:val="none"/>
        </w:rPr>
        <w:t>竞选人的法定代表人或其授权代表未参加比选；</w:t>
      </w:r>
    </w:p>
    <w:p>
      <w:pPr>
        <w:numPr>
          <w:ilvl w:val="0"/>
          <w:numId w:val="3"/>
        </w:numPr>
        <w:snapToGrid w:val="0"/>
        <w:spacing w:line="440" w:lineRule="exact"/>
        <w:ind w:left="0" w:firstLine="560" w:firstLineChars="200"/>
        <w:rPr>
          <w:rFonts w:ascii="宋体" w:hAnsi="宋体"/>
          <w:color w:val="000000"/>
          <w:szCs w:val="28"/>
          <w:highlight w:val="none"/>
        </w:rPr>
      </w:pPr>
      <w:r>
        <w:rPr>
          <w:rFonts w:hint="eastAsia" w:ascii="宋体" w:hAnsi="宋体"/>
          <w:color w:val="000000"/>
          <w:szCs w:val="28"/>
          <w:highlight w:val="none"/>
        </w:rPr>
        <w:t>竞选人所提交的竞选文件不按第七篇“竞选文件格式要求”规定签字、盖章；</w:t>
      </w:r>
    </w:p>
    <w:p>
      <w:pPr>
        <w:numPr>
          <w:ilvl w:val="0"/>
          <w:numId w:val="3"/>
        </w:numPr>
        <w:snapToGrid w:val="0"/>
        <w:spacing w:line="440" w:lineRule="exact"/>
        <w:ind w:left="0" w:firstLine="560" w:firstLineChars="200"/>
        <w:rPr>
          <w:rFonts w:ascii="宋体" w:hAnsi="宋体"/>
          <w:color w:val="000000"/>
          <w:szCs w:val="28"/>
          <w:highlight w:val="none"/>
        </w:rPr>
      </w:pPr>
      <w:r>
        <w:rPr>
          <w:rFonts w:ascii="宋体" w:hAnsi="宋体"/>
          <w:color w:val="000000"/>
          <w:szCs w:val="28"/>
          <w:highlight w:val="none"/>
        </w:rPr>
        <w:t>单位负责人为同一人或者存在直接控股、管理关系的不同</w:t>
      </w:r>
      <w:r>
        <w:rPr>
          <w:rFonts w:hint="eastAsia" w:ascii="宋体" w:hAnsi="宋体"/>
          <w:color w:val="000000"/>
          <w:szCs w:val="28"/>
          <w:highlight w:val="none"/>
        </w:rPr>
        <w:t>竞选人</w:t>
      </w:r>
      <w:r>
        <w:rPr>
          <w:rFonts w:ascii="宋体" w:hAnsi="宋体"/>
          <w:color w:val="000000"/>
          <w:szCs w:val="28"/>
          <w:highlight w:val="none"/>
        </w:rPr>
        <w:t>，参加同一合同项下的</w:t>
      </w:r>
      <w:r>
        <w:rPr>
          <w:rFonts w:hint="eastAsia" w:ascii="宋体" w:hAnsi="宋体"/>
          <w:color w:val="000000"/>
          <w:szCs w:val="28"/>
          <w:highlight w:val="none"/>
        </w:rPr>
        <w:t>比选的；</w:t>
      </w:r>
    </w:p>
    <w:p>
      <w:pPr>
        <w:numPr>
          <w:ilvl w:val="0"/>
          <w:numId w:val="3"/>
        </w:numPr>
        <w:snapToGrid w:val="0"/>
        <w:spacing w:line="440" w:lineRule="exact"/>
        <w:ind w:left="0" w:firstLine="560" w:firstLineChars="200"/>
        <w:rPr>
          <w:rFonts w:ascii="宋体" w:hAnsi="宋体"/>
          <w:color w:val="000000"/>
          <w:szCs w:val="28"/>
          <w:highlight w:val="none"/>
        </w:rPr>
      </w:pPr>
      <w:r>
        <w:rPr>
          <w:rFonts w:hint="eastAsia" w:ascii="宋体" w:hAnsi="宋体"/>
          <w:color w:val="000000"/>
          <w:szCs w:val="28"/>
          <w:highlight w:val="none"/>
        </w:rPr>
        <w:t>竞选人竞选文件内容有与国家现行法律法规相违背的内容，或附有比选人无法接受的条件。</w:t>
      </w:r>
    </w:p>
    <w:p>
      <w:pPr>
        <w:numPr>
          <w:ilvl w:val="0"/>
          <w:numId w:val="3"/>
        </w:numPr>
        <w:snapToGrid w:val="0"/>
        <w:spacing w:line="440" w:lineRule="exact"/>
        <w:ind w:left="0" w:firstLine="560" w:firstLineChars="200"/>
        <w:rPr>
          <w:rFonts w:ascii="宋体" w:hAnsi="宋体"/>
          <w:color w:val="000000"/>
          <w:szCs w:val="28"/>
          <w:highlight w:val="none"/>
        </w:rPr>
      </w:pPr>
      <w:r>
        <w:rPr>
          <w:rFonts w:hint="eastAsia" w:ascii="宋体" w:hAnsi="宋体"/>
          <w:color w:val="000000"/>
          <w:szCs w:val="28"/>
          <w:highlight w:val="none"/>
        </w:rPr>
        <w:t>响应内容不符合必须强制执行的国家标准的；</w:t>
      </w:r>
    </w:p>
    <w:p>
      <w:pPr>
        <w:numPr>
          <w:ilvl w:val="0"/>
          <w:numId w:val="3"/>
        </w:numPr>
        <w:snapToGrid w:val="0"/>
        <w:spacing w:line="440" w:lineRule="exact"/>
        <w:ind w:left="0" w:firstLine="560" w:firstLineChars="200"/>
        <w:rPr>
          <w:rFonts w:ascii="宋体" w:hAnsi="宋体"/>
          <w:color w:val="000000"/>
          <w:szCs w:val="28"/>
          <w:highlight w:val="none"/>
        </w:rPr>
      </w:pPr>
      <w:r>
        <w:rPr>
          <w:rFonts w:hint="eastAsia" w:ascii="宋体" w:hAnsi="宋体"/>
          <w:color w:val="000000"/>
          <w:szCs w:val="28"/>
          <w:highlight w:val="none"/>
        </w:rPr>
        <w:t>竞选人提供虚假材料的。</w:t>
      </w:r>
    </w:p>
    <w:p>
      <w:pPr>
        <w:snapToGrid w:val="0"/>
        <w:spacing w:line="400" w:lineRule="exact"/>
        <w:ind w:firstLine="562" w:firstLineChars="200"/>
        <w:outlineLvl w:val="2"/>
        <w:rPr>
          <w:rFonts w:ascii="宋体" w:hAnsi="宋体"/>
          <w:b/>
          <w:color w:val="000000"/>
          <w:szCs w:val="28"/>
          <w:highlight w:val="none"/>
        </w:rPr>
      </w:pPr>
      <w:bookmarkStart w:id="96" w:name="_Toc428437948"/>
      <w:bookmarkStart w:id="97" w:name="_Toc17687"/>
      <w:r>
        <w:rPr>
          <w:rFonts w:hint="eastAsia" w:ascii="宋体" w:hAnsi="宋体"/>
          <w:b/>
          <w:color w:val="000000"/>
          <w:szCs w:val="28"/>
          <w:highlight w:val="none"/>
        </w:rPr>
        <w:t>四、</w:t>
      </w:r>
      <w:bookmarkEnd w:id="88"/>
      <w:bookmarkEnd w:id="89"/>
      <w:r>
        <w:rPr>
          <w:rFonts w:hint="eastAsia" w:ascii="宋体" w:hAnsi="宋体"/>
          <w:b/>
          <w:color w:val="000000"/>
          <w:szCs w:val="28"/>
          <w:highlight w:val="none"/>
        </w:rPr>
        <w:t>比选终止</w:t>
      </w:r>
      <w:bookmarkEnd w:id="96"/>
      <w:bookmarkEnd w:id="97"/>
    </w:p>
    <w:p>
      <w:pPr>
        <w:snapToGrid w:val="0"/>
        <w:spacing w:line="480" w:lineRule="exact"/>
        <w:ind w:firstLine="465"/>
        <w:rPr>
          <w:rFonts w:ascii="宋体" w:hAnsi="宋体"/>
          <w:color w:val="000000"/>
          <w:szCs w:val="28"/>
          <w:highlight w:val="none"/>
        </w:rPr>
      </w:pPr>
      <w:r>
        <w:rPr>
          <w:rFonts w:hint="eastAsia" w:ascii="宋体" w:hAnsi="宋体"/>
          <w:color w:val="000000"/>
          <w:szCs w:val="28"/>
          <w:highlight w:val="none"/>
        </w:rPr>
        <w:t>出现下列情形之一的，比选人或者比选代理机构应当终止竞争性比选，发布项目终止公告并说明原因，重新开展比选：</w:t>
      </w:r>
    </w:p>
    <w:p>
      <w:pPr>
        <w:snapToGrid w:val="0"/>
        <w:spacing w:line="480" w:lineRule="exact"/>
        <w:ind w:firstLine="465"/>
        <w:rPr>
          <w:rFonts w:ascii="宋体" w:hAnsi="宋体"/>
          <w:color w:val="000000"/>
          <w:szCs w:val="28"/>
          <w:highlight w:val="none"/>
        </w:rPr>
      </w:pPr>
      <w:r>
        <w:rPr>
          <w:rFonts w:hint="eastAsia" w:ascii="宋体" w:hAnsi="宋体"/>
          <w:color w:val="000000"/>
          <w:szCs w:val="28"/>
          <w:highlight w:val="none"/>
        </w:rPr>
        <w:t>（一）因情况变化，不再符合规定的竞争性比选方式适用情形的；</w:t>
      </w:r>
    </w:p>
    <w:p>
      <w:pPr>
        <w:snapToGrid w:val="0"/>
        <w:spacing w:line="480" w:lineRule="exact"/>
        <w:ind w:firstLine="465"/>
        <w:rPr>
          <w:rFonts w:ascii="宋体" w:hAnsi="宋体"/>
          <w:color w:val="000000"/>
          <w:szCs w:val="28"/>
          <w:highlight w:val="none"/>
        </w:rPr>
      </w:pPr>
      <w:r>
        <w:rPr>
          <w:rFonts w:hint="eastAsia" w:ascii="宋体" w:hAnsi="宋体"/>
          <w:color w:val="000000"/>
          <w:szCs w:val="28"/>
          <w:highlight w:val="none"/>
        </w:rPr>
        <w:t>（二）出现影响比选公正的违法、违规行为的；</w:t>
      </w:r>
    </w:p>
    <w:p>
      <w:pPr>
        <w:snapToGrid w:val="0"/>
        <w:spacing w:line="480" w:lineRule="exact"/>
        <w:ind w:firstLine="465"/>
        <w:rPr>
          <w:rFonts w:ascii="宋体" w:hAnsi="宋体"/>
          <w:color w:val="000000"/>
          <w:szCs w:val="28"/>
          <w:highlight w:val="none"/>
        </w:rPr>
      </w:pPr>
      <w:r>
        <w:rPr>
          <w:rFonts w:hint="eastAsia" w:ascii="宋体" w:hAnsi="宋体"/>
          <w:color w:val="000000"/>
          <w:szCs w:val="28"/>
          <w:highlight w:val="none"/>
        </w:rPr>
        <w:t>（三）在比选过程中通过资格及符合性审查的竞选人不足2家的。</w:t>
      </w:r>
    </w:p>
    <w:p>
      <w:pPr>
        <w:spacing w:line="360" w:lineRule="auto"/>
        <w:ind w:firstLine="560" w:firstLineChars="200"/>
        <w:rPr>
          <w:rFonts w:ascii="宋体" w:hAnsi="宋体"/>
          <w:color w:val="000000"/>
          <w:szCs w:val="28"/>
          <w:highlight w:val="none"/>
        </w:rPr>
        <w:sectPr>
          <w:footerReference r:id="rId8" w:type="default"/>
          <w:footerReference r:id="rId9" w:type="even"/>
          <w:pgSz w:w="11907" w:h="16840"/>
          <w:pgMar w:top="850" w:right="850" w:bottom="850" w:left="850" w:header="964" w:footer="992" w:gutter="0"/>
          <w:cols w:space="720" w:num="1"/>
          <w:docGrid w:linePitch="312" w:charSpace="0"/>
        </w:sectPr>
      </w:pPr>
    </w:p>
    <w:p>
      <w:pPr>
        <w:pStyle w:val="5"/>
        <w:spacing w:before="0" w:after="0" w:line="360" w:lineRule="auto"/>
        <w:jc w:val="center"/>
        <w:rPr>
          <w:rFonts w:ascii="宋体" w:hAnsi="宋体" w:eastAsia="宋体"/>
          <w:color w:val="000000"/>
          <w:sz w:val="36"/>
          <w:szCs w:val="36"/>
          <w:highlight w:val="none"/>
        </w:rPr>
      </w:pPr>
      <w:bookmarkStart w:id="98" w:name="_Hlt41879464"/>
      <w:bookmarkEnd w:id="98"/>
      <w:bookmarkStart w:id="99" w:name="_Toc26653"/>
      <w:bookmarkStart w:id="100" w:name="_Toc17073"/>
      <w:bookmarkStart w:id="101" w:name="_Toc12789072"/>
      <w:r>
        <w:rPr>
          <w:rFonts w:hint="eastAsia" w:ascii="宋体" w:hAnsi="宋体" w:eastAsia="宋体"/>
          <w:color w:val="000000"/>
          <w:sz w:val="36"/>
          <w:szCs w:val="36"/>
          <w:highlight w:val="none"/>
        </w:rPr>
        <w:t>第五篇  竞选人须知</w:t>
      </w:r>
      <w:bookmarkEnd w:id="99"/>
      <w:bookmarkEnd w:id="100"/>
    </w:p>
    <w:p>
      <w:pPr>
        <w:pStyle w:val="6"/>
        <w:spacing w:before="0" w:after="0" w:line="360" w:lineRule="auto"/>
        <w:rPr>
          <w:rFonts w:ascii="宋体" w:hAnsi="宋体"/>
          <w:color w:val="000000"/>
          <w:sz w:val="28"/>
          <w:szCs w:val="28"/>
          <w:highlight w:val="none"/>
        </w:rPr>
      </w:pPr>
      <w:bookmarkStart w:id="102" w:name="_Toc428437950"/>
      <w:bookmarkStart w:id="103" w:name="_Toc9491"/>
      <w:bookmarkStart w:id="104" w:name="_Toc20853"/>
      <w:r>
        <w:rPr>
          <w:rFonts w:hint="eastAsia" w:ascii="宋体" w:hAnsi="宋体"/>
          <w:color w:val="000000"/>
          <w:sz w:val="28"/>
          <w:szCs w:val="28"/>
          <w:highlight w:val="none"/>
        </w:rPr>
        <w:t>一、</w:t>
      </w:r>
      <w:bookmarkEnd w:id="102"/>
      <w:r>
        <w:rPr>
          <w:rFonts w:hint="eastAsia" w:ascii="宋体" w:hAnsi="宋体"/>
          <w:color w:val="000000"/>
          <w:sz w:val="28"/>
          <w:szCs w:val="28"/>
          <w:highlight w:val="none"/>
        </w:rPr>
        <w:t>比选竞选人</w:t>
      </w:r>
      <w:bookmarkEnd w:id="103"/>
      <w:bookmarkEnd w:id="104"/>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参与比选的竞选人应承担其编制竞选文件与递交竞选文件所涉及的一切费用，不论比选结果如何，比选人和比选代理机构在任何情况下无义务也无责任承担这些费用。</w:t>
      </w:r>
    </w:p>
    <w:p>
      <w:pPr>
        <w:pStyle w:val="6"/>
        <w:spacing w:before="0" w:after="0" w:line="360" w:lineRule="auto"/>
        <w:rPr>
          <w:rFonts w:ascii="宋体" w:hAnsi="宋体"/>
          <w:color w:val="000000"/>
          <w:sz w:val="28"/>
          <w:szCs w:val="28"/>
          <w:highlight w:val="none"/>
        </w:rPr>
      </w:pPr>
      <w:bookmarkStart w:id="105" w:name="_Toc428437951"/>
      <w:bookmarkStart w:id="106" w:name="_Toc8131"/>
      <w:bookmarkStart w:id="107" w:name="_Toc14113"/>
      <w:r>
        <w:rPr>
          <w:rFonts w:hint="eastAsia" w:ascii="宋体" w:hAnsi="宋体"/>
          <w:color w:val="000000"/>
          <w:sz w:val="28"/>
          <w:szCs w:val="28"/>
          <w:highlight w:val="none"/>
        </w:rPr>
        <w:t>二、竞争性比选文件</w:t>
      </w:r>
      <w:bookmarkEnd w:id="105"/>
      <w:bookmarkEnd w:id="106"/>
      <w:bookmarkEnd w:id="107"/>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（一）竞争性比选文件由竞争性比选邀请书、项目服务需求、项目商务需求、比选程序及方法、</w:t>
      </w:r>
      <w:r>
        <w:rPr>
          <w:rFonts w:hAnsi="宋体"/>
          <w:color w:val="000000"/>
          <w:sz w:val="28"/>
          <w:szCs w:val="28"/>
          <w:highlight w:val="none"/>
        </w:rPr>
        <w:t>评</w:t>
      </w:r>
      <w:r>
        <w:rPr>
          <w:rFonts w:hint="eastAsia" w:hAnsi="宋体"/>
          <w:color w:val="000000"/>
          <w:sz w:val="28"/>
          <w:szCs w:val="28"/>
          <w:highlight w:val="none"/>
        </w:rPr>
        <w:t>审及标准、竞选人须知、合同草案条款、竞选文件编制要求七部分组成。</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（二）比选人（或比选代理机构）所作的一切有效的书面通知、修改及补充，都是竞争性比选文件不可分割的部分。</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（三）竞争性比选文件的解释</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竞选人如对竞争性比选文件有疑问，必须以书面形式在提交竞选文件截止时间3个工作日前向比选人（或比选代理机构）要求澄清，比选人（或比选代理机构）可视具体情况做出处理或答复。如竞选人未提出疑问，视为完全理解并同意本竞争性比选文件。一经进入比选程序，即视为竞选人已详细阅读全部文件资料，完全理解竞争性比选文件所有条款内容并同意放弃对这方面有不明白及误解的权利。</w:t>
      </w:r>
      <w:bookmarkStart w:id="108" w:name="_Toc318159160"/>
      <w:bookmarkStart w:id="109" w:name="_Toc318166429"/>
      <w:bookmarkStart w:id="110" w:name="_Toc318159349"/>
      <w:bookmarkStart w:id="111" w:name="_Toc318159780"/>
    </w:p>
    <w:p>
      <w:pPr>
        <w:pStyle w:val="181"/>
        <w:spacing w:line="360" w:lineRule="auto"/>
        <w:ind w:firstLine="560" w:firstLineChars="200"/>
        <w:rPr>
          <w:rFonts w:ascii="方正仿宋_GBK" w:hAnsi="宋体" w:eastAsia="方正仿宋_GBK"/>
          <w:color w:val="000000"/>
          <w:sz w:val="28"/>
          <w:szCs w:val="28"/>
          <w:highlight w:val="none"/>
        </w:rPr>
      </w:pPr>
      <w:r>
        <w:rPr>
          <w:rFonts w:hint="eastAsia" w:hAnsi="宋体"/>
          <w:color w:val="000000"/>
          <w:sz w:val="28"/>
          <w:szCs w:val="28"/>
          <w:highlight w:val="none"/>
        </w:rPr>
        <w:t>（四）评审的依据为竞争性比选文件和竞选文件（含有效的书面承诺）。比选小组判断竞选文件对竞争性比选文件的响应，仅基于竞选文件本身而不靠外部证据。</w:t>
      </w:r>
    </w:p>
    <w:bookmarkEnd w:id="108"/>
    <w:bookmarkEnd w:id="109"/>
    <w:bookmarkEnd w:id="110"/>
    <w:bookmarkEnd w:id="111"/>
    <w:p>
      <w:pPr>
        <w:pStyle w:val="6"/>
        <w:spacing w:before="0" w:after="0" w:line="360" w:lineRule="auto"/>
        <w:rPr>
          <w:rFonts w:ascii="宋体" w:hAnsi="宋体"/>
          <w:color w:val="000000"/>
          <w:sz w:val="28"/>
          <w:szCs w:val="28"/>
          <w:highlight w:val="none"/>
        </w:rPr>
      </w:pPr>
      <w:bookmarkStart w:id="112" w:name="_Toc9322"/>
      <w:bookmarkStart w:id="113" w:name="_Toc342913392"/>
      <w:bookmarkStart w:id="114" w:name="_Toc428437952"/>
      <w:bookmarkStart w:id="115" w:name="_Toc179714297"/>
      <w:bookmarkStart w:id="116" w:name="_Toc102227318"/>
      <w:bookmarkStart w:id="117" w:name="_Toc5667"/>
      <w:r>
        <w:rPr>
          <w:rFonts w:hint="eastAsia" w:ascii="宋体" w:hAnsi="宋体"/>
          <w:color w:val="000000"/>
          <w:sz w:val="28"/>
          <w:szCs w:val="28"/>
          <w:highlight w:val="none"/>
        </w:rPr>
        <w:t>三、比选要求</w:t>
      </w:r>
      <w:bookmarkEnd w:id="112"/>
      <w:bookmarkEnd w:id="113"/>
      <w:bookmarkEnd w:id="114"/>
      <w:bookmarkEnd w:id="115"/>
      <w:bookmarkEnd w:id="116"/>
      <w:bookmarkEnd w:id="117"/>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（一）竞选文件</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1．竞选人应当按照竞争性比选文件的要求编制竞选文件，并对竞争性比选文件提出的要求和条件作出实质性响应，竞选文件原则上采用软面订本，同时应编制完整的页码、目录。</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2．竞选文件组成</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（二）</w:t>
      </w:r>
      <w:r>
        <w:rPr>
          <w:rFonts w:ascii="宋体" w:hAnsi="宋体"/>
          <w:color w:val="000000"/>
          <w:szCs w:val="28"/>
          <w:highlight w:val="none"/>
        </w:rPr>
        <w:t>本</w:t>
      </w:r>
      <w:r>
        <w:rPr>
          <w:rFonts w:hint="eastAsia" w:ascii="宋体" w:hAnsi="宋体"/>
          <w:color w:val="000000"/>
          <w:szCs w:val="28"/>
          <w:highlight w:val="none"/>
        </w:rPr>
        <w:t>项目不接受联合体</w:t>
      </w:r>
      <w:r>
        <w:rPr>
          <w:rFonts w:ascii="宋体" w:hAnsi="宋体"/>
          <w:color w:val="000000"/>
          <w:szCs w:val="28"/>
          <w:highlight w:val="none"/>
        </w:rPr>
        <w:t>形式参与</w:t>
      </w:r>
      <w:r>
        <w:rPr>
          <w:rFonts w:hint="eastAsia" w:ascii="宋体" w:hAnsi="宋体"/>
          <w:color w:val="000000"/>
          <w:szCs w:val="28"/>
          <w:highlight w:val="none"/>
        </w:rPr>
        <w:t>比选</w:t>
      </w:r>
      <w:r>
        <w:rPr>
          <w:rFonts w:ascii="宋体" w:hAnsi="宋体"/>
          <w:color w:val="000000"/>
          <w:szCs w:val="28"/>
          <w:highlight w:val="none"/>
        </w:rPr>
        <w:t>。</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（三）比选有效期：竞选文件及有关承诺文件有效期为提交竞选文件截止时间起90天。</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（四）比选保证金：</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1．竞选人提交保证金金额和方式详见“</w:t>
      </w:r>
      <w:r>
        <w:rPr>
          <w:rFonts w:hint="eastAsia" w:hAnsi="宋体"/>
          <w:b/>
          <w:color w:val="000000"/>
          <w:sz w:val="28"/>
          <w:szCs w:val="28"/>
          <w:highlight w:val="none"/>
        </w:rPr>
        <w:t>第一篇  五、保证金</w:t>
      </w:r>
      <w:r>
        <w:rPr>
          <w:rFonts w:hint="eastAsia" w:hAnsi="宋体"/>
          <w:color w:val="000000"/>
          <w:sz w:val="28"/>
          <w:szCs w:val="28"/>
          <w:highlight w:val="none"/>
        </w:rPr>
        <w:t>”；</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2．发生以下情况之一者，比选保证金不予退还：</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2.1竞选人在提交竞选文件截止时间后撤回竞选文件的；</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2.2竞选人在竞选文件中提供虚假材料的；</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2.3除因不可抗力或竞争性比选文件认可的情形以外，中选人不与比选人签订合同的；</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2.4竞选人与比选人、其他竞选人或者比选代理机构恶意串通的；</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2.5中选人不按规定的时间或拒绝按中选状态签订合同（即不按照比选文件确定的合同文本以及比选标的、规格型号、金额、数量、服务和商务要求等事项签订采购合同的。</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（五）修正错误</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1．若竞选人所递交的竞选文件或报价中的价格出现大写金额和小写金额不一致的错误，以大写金额修正为准。</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2．比选小组按上述修正错误的原则及方法修正竞选人的报价，竞选人同意并签字确认后，修正后的报价对竞选人具有约束作用。如果竞选人不接受修正后的价格，将失去成为中选人的资格。</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（六）提交竞选文件的份数和签署</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1．竞选文件一式三份，其中正本一份，副本二份，副本可为正本的复印件，应与正本一致，如出现不一致情况以正本为准。</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2．在竞选文件正本中，竞争性比选文件第六篇竞选文件编制要求中规定签字、盖章的地方必须按其规定签字、盖章。</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（七）竞选文件的递交</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1．竞选文件的密封与标记</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2．竞选文件递交截止时间：参阅竞争性比选邀请书。</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3．竞选文件语言：简体中文</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（八）竞选人参与人员</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各个竞选人可派1-2名代表参与比选，至少1人应为法定代表人或具有法定代表人授权委托书的授权代表。</w:t>
      </w:r>
    </w:p>
    <w:p>
      <w:pPr>
        <w:pStyle w:val="6"/>
        <w:spacing w:before="0" w:after="0" w:line="360" w:lineRule="auto"/>
        <w:rPr>
          <w:rFonts w:ascii="宋体" w:hAnsi="宋体"/>
          <w:color w:val="000000"/>
          <w:sz w:val="28"/>
          <w:szCs w:val="28"/>
          <w:highlight w:val="none"/>
        </w:rPr>
      </w:pPr>
      <w:bookmarkStart w:id="118" w:name="_Toc23558"/>
      <w:bookmarkStart w:id="119" w:name="_Toc428437953"/>
      <w:bookmarkStart w:id="120" w:name="_Toc14139"/>
      <w:r>
        <w:rPr>
          <w:rFonts w:hint="eastAsia" w:ascii="宋体" w:hAnsi="宋体"/>
          <w:color w:val="000000"/>
          <w:sz w:val="28"/>
          <w:szCs w:val="28"/>
          <w:highlight w:val="none"/>
        </w:rPr>
        <w:t>四、中选人的确认和变更</w:t>
      </w:r>
      <w:bookmarkEnd w:id="118"/>
      <w:bookmarkEnd w:id="119"/>
      <w:bookmarkEnd w:id="120"/>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（一）中选人的确认</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比选代理机构</w:t>
      </w:r>
      <w:r>
        <w:rPr>
          <w:rFonts w:hAnsi="宋体"/>
          <w:color w:val="000000"/>
          <w:sz w:val="28"/>
          <w:szCs w:val="28"/>
          <w:highlight w:val="none"/>
        </w:rPr>
        <w:t>应当在评审结束后2个工作日内将评审报告送</w:t>
      </w:r>
      <w:r>
        <w:rPr>
          <w:rFonts w:hint="eastAsia" w:hAnsi="宋体"/>
          <w:color w:val="000000"/>
          <w:sz w:val="28"/>
          <w:szCs w:val="28"/>
          <w:highlight w:val="none"/>
        </w:rPr>
        <w:t>比选人</w:t>
      </w:r>
      <w:r>
        <w:rPr>
          <w:rFonts w:hAnsi="宋体"/>
          <w:color w:val="000000"/>
          <w:sz w:val="28"/>
          <w:szCs w:val="28"/>
          <w:highlight w:val="none"/>
        </w:rPr>
        <w:t>确认。</w:t>
      </w:r>
      <w:r>
        <w:rPr>
          <w:rFonts w:hint="eastAsia" w:hAnsi="宋体"/>
          <w:color w:val="000000"/>
          <w:sz w:val="28"/>
          <w:szCs w:val="28"/>
          <w:highlight w:val="none"/>
        </w:rPr>
        <w:t>比选人</w:t>
      </w:r>
      <w:r>
        <w:rPr>
          <w:rFonts w:hAnsi="宋体"/>
          <w:color w:val="000000"/>
          <w:sz w:val="28"/>
          <w:szCs w:val="28"/>
          <w:highlight w:val="none"/>
        </w:rPr>
        <w:t>应当在收到评审报告后5个工作日内</w:t>
      </w:r>
      <w:r>
        <w:rPr>
          <w:rFonts w:hint="eastAsia" w:hAnsi="宋体"/>
          <w:color w:val="000000"/>
          <w:sz w:val="28"/>
          <w:szCs w:val="28"/>
          <w:highlight w:val="none"/>
        </w:rPr>
        <w:t>，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（二）中选人的变更</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中选人拒绝与比选人签订合同的，比选人可以按照评选报告推荐的中选候选竞选人顺序，确定排名下一位的候选人为中选人，也可以重新开展比选。</w:t>
      </w:r>
    </w:p>
    <w:p>
      <w:pPr>
        <w:pStyle w:val="6"/>
        <w:spacing w:before="0" w:after="0" w:line="360" w:lineRule="auto"/>
        <w:rPr>
          <w:rFonts w:ascii="宋体" w:hAnsi="宋体"/>
          <w:color w:val="000000"/>
          <w:sz w:val="28"/>
          <w:szCs w:val="28"/>
          <w:highlight w:val="none"/>
        </w:rPr>
      </w:pPr>
      <w:bookmarkStart w:id="121" w:name="_Toc342913395"/>
      <w:bookmarkStart w:id="122" w:name="_Toc102227321"/>
      <w:bookmarkStart w:id="123" w:name="_Toc428437954"/>
      <w:bookmarkStart w:id="124" w:name="_Toc14704"/>
      <w:bookmarkStart w:id="125" w:name="_Toc3848"/>
      <w:r>
        <w:rPr>
          <w:rFonts w:hint="eastAsia" w:ascii="宋体" w:hAnsi="宋体"/>
          <w:color w:val="000000"/>
          <w:sz w:val="28"/>
          <w:szCs w:val="28"/>
          <w:highlight w:val="none"/>
        </w:rPr>
        <w:t>五、中选通知</w:t>
      </w:r>
      <w:bookmarkEnd w:id="121"/>
      <w:bookmarkEnd w:id="122"/>
      <w:bookmarkEnd w:id="123"/>
      <w:bookmarkEnd w:id="124"/>
      <w:bookmarkEnd w:id="125"/>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（一）中选人确定后，将在“重庆市制造业人才服务中心”官方网站（www.cidcchina.com）上发布中选结果公告。</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（二）结果公告发出同时，比选代理机构将以书面形式发出《中选通知书》。《中选通知书》一经发出即发生法律效力。</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（三）《中选通知书》将作为签订合同的依据。</w:t>
      </w:r>
    </w:p>
    <w:p>
      <w:pPr>
        <w:pStyle w:val="181"/>
        <w:spacing w:line="360" w:lineRule="auto"/>
        <w:ind w:firstLine="560" w:firstLineChars="200"/>
        <w:rPr>
          <w:rFonts w:hAnsi="宋体"/>
          <w:color w:val="000000"/>
          <w:sz w:val="28"/>
          <w:szCs w:val="28"/>
          <w:highlight w:val="none"/>
        </w:rPr>
      </w:pPr>
      <w:r>
        <w:rPr>
          <w:rFonts w:hint="eastAsia" w:hAnsi="宋体"/>
          <w:color w:val="000000"/>
          <w:sz w:val="28"/>
          <w:szCs w:val="28"/>
          <w:highlight w:val="none"/>
        </w:rPr>
        <w:t>（四）如有竞选人对中选结果提出质疑的，在质疑处理完毕后发出中选通知书。</w:t>
      </w:r>
    </w:p>
    <w:p>
      <w:pPr>
        <w:pStyle w:val="6"/>
        <w:spacing w:before="0" w:after="0" w:line="360" w:lineRule="auto"/>
        <w:rPr>
          <w:rFonts w:ascii="宋体" w:hAnsi="宋体"/>
          <w:color w:val="000000"/>
          <w:sz w:val="28"/>
          <w:szCs w:val="28"/>
          <w:highlight w:val="none"/>
        </w:rPr>
      </w:pPr>
      <w:bookmarkStart w:id="126" w:name="_Toc428437956"/>
      <w:bookmarkStart w:id="127" w:name="_Toc21925"/>
      <w:bookmarkStart w:id="128" w:name="_Toc13843"/>
      <w:r>
        <w:rPr>
          <w:rFonts w:hint="eastAsia" w:ascii="宋体" w:hAnsi="宋体"/>
          <w:color w:val="000000"/>
          <w:sz w:val="28"/>
          <w:szCs w:val="28"/>
          <w:highlight w:val="none"/>
        </w:rPr>
        <w:t>六、比选代理服务费</w:t>
      </w:r>
      <w:bookmarkEnd w:id="126"/>
      <w:bookmarkEnd w:id="127"/>
      <w:bookmarkEnd w:id="128"/>
    </w:p>
    <w:p>
      <w:pPr>
        <w:spacing w:line="360" w:lineRule="auto"/>
        <w:ind w:firstLine="560" w:firstLineChars="200"/>
        <w:rPr>
          <w:rFonts w:ascii="宋体" w:hAnsi="宋体" w:cs="宋体"/>
          <w:b/>
          <w:szCs w:val="28"/>
          <w:highlight w:val="none"/>
        </w:rPr>
      </w:pPr>
      <w:bookmarkStart w:id="129" w:name="OLE_LINK8"/>
      <w:bookmarkStart w:id="130" w:name="OLE_LINK7"/>
      <w:bookmarkStart w:id="131" w:name="_Toc102227322"/>
      <w:bookmarkStart w:id="132" w:name="_Toc428437958"/>
      <w:bookmarkStart w:id="133" w:name="_Toc342913396"/>
      <w:r>
        <w:rPr>
          <w:rFonts w:hint="eastAsia" w:ascii="宋体" w:hAnsi="宋体" w:cs="宋体"/>
          <w:szCs w:val="28"/>
          <w:highlight w:val="none"/>
        </w:rPr>
        <w:t>1.竞选人中选后向比选代理机构缴纳比选代理服务费，本项目比选代理服务费为</w:t>
      </w:r>
      <w:r>
        <w:rPr>
          <w:rFonts w:hint="eastAsia" w:ascii="宋体" w:hAnsi="宋体" w:cs="宋体"/>
          <w:szCs w:val="28"/>
          <w:highlight w:val="none"/>
          <w:lang w:eastAsia="zh-CN"/>
        </w:rPr>
        <w:t>：</w:t>
      </w:r>
      <w:r>
        <w:rPr>
          <w:rFonts w:hint="eastAsia" w:ascii="宋体" w:hAnsi="宋体" w:cs="宋体"/>
          <w:szCs w:val="28"/>
          <w:highlight w:val="none"/>
          <w:lang w:val="en-US" w:eastAsia="zh-CN"/>
        </w:rPr>
        <w:t>中选金额的1.5%，计算后不足4000元的按4000元收取</w:t>
      </w:r>
      <w:r>
        <w:rPr>
          <w:rFonts w:hint="eastAsia" w:ascii="宋体" w:hAnsi="宋体" w:cs="宋体"/>
          <w:szCs w:val="28"/>
          <w:highlight w:val="none"/>
        </w:rPr>
        <w:t>。</w:t>
      </w:r>
    </w:p>
    <w:bookmarkEnd w:id="129"/>
    <w:bookmarkEnd w:id="130"/>
    <w:p>
      <w:pPr>
        <w:spacing w:line="360" w:lineRule="auto"/>
        <w:ind w:firstLine="560" w:firstLineChars="200"/>
        <w:rPr>
          <w:rFonts w:ascii="宋体" w:hAnsi="宋体" w:cs="宋体"/>
          <w:szCs w:val="28"/>
          <w:highlight w:val="none"/>
        </w:rPr>
      </w:pPr>
      <w:r>
        <w:rPr>
          <w:rFonts w:hint="eastAsia" w:ascii="宋体" w:hAnsi="宋体" w:cs="宋体"/>
          <w:szCs w:val="28"/>
          <w:highlight w:val="none"/>
        </w:rPr>
        <w:t>2.比选代理服务费缴纳账号：</w:t>
      </w:r>
    </w:p>
    <w:p>
      <w:pPr>
        <w:spacing w:line="360" w:lineRule="auto"/>
        <w:ind w:firstLine="560" w:firstLineChars="200"/>
        <w:rPr>
          <w:rFonts w:ascii="宋体" w:hAnsi="宋体" w:cs="宋体"/>
          <w:szCs w:val="28"/>
          <w:highlight w:val="none"/>
        </w:rPr>
      </w:pPr>
      <w:r>
        <w:rPr>
          <w:rFonts w:hint="eastAsia" w:ascii="宋体" w:hAnsi="宋体" w:cs="宋体"/>
          <w:szCs w:val="28"/>
          <w:highlight w:val="none"/>
        </w:rPr>
        <w:t>户    名：瀚景项目管理有限公司重庆分公司</w:t>
      </w:r>
    </w:p>
    <w:p>
      <w:pPr>
        <w:spacing w:line="360" w:lineRule="auto"/>
        <w:ind w:firstLine="560" w:firstLineChars="200"/>
        <w:rPr>
          <w:rFonts w:ascii="宋体" w:hAnsi="宋体" w:cs="宋体"/>
          <w:szCs w:val="28"/>
          <w:highlight w:val="none"/>
        </w:rPr>
      </w:pPr>
      <w:r>
        <w:rPr>
          <w:rFonts w:hint="eastAsia" w:ascii="宋体" w:hAnsi="宋体" w:cs="宋体"/>
          <w:szCs w:val="28"/>
          <w:highlight w:val="none"/>
        </w:rPr>
        <w:t>账    号：</w:t>
      </w:r>
      <w:r>
        <w:rPr>
          <w:rFonts w:hint="eastAsia" w:ascii="宋体" w:hAnsi="宋体"/>
          <w:color w:val="000000"/>
          <w:szCs w:val="28"/>
          <w:highlight w:val="none"/>
        </w:rPr>
        <w:t>123908446310202</w:t>
      </w:r>
    </w:p>
    <w:p>
      <w:pPr>
        <w:spacing w:line="360" w:lineRule="auto"/>
        <w:ind w:firstLine="560" w:firstLineChars="200"/>
        <w:rPr>
          <w:rFonts w:ascii="宋体" w:hAnsi="宋体"/>
          <w:color w:val="000000"/>
          <w:szCs w:val="28"/>
          <w:highlight w:val="none"/>
        </w:rPr>
      </w:pPr>
      <w:r>
        <w:rPr>
          <w:rFonts w:hint="eastAsia" w:ascii="宋体" w:hAnsi="宋体" w:cs="宋体"/>
          <w:szCs w:val="28"/>
          <w:highlight w:val="none"/>
        </w:rPr>
        <w:t>开户银行：</w:t>
      </w:r>
      <w:r>
        <w:rPr>
          <w:rFonts w:hint="eastAsia" w:ascii="宋体" w:hAnsi="宋体"/>
          <w:color w:val="000000"/>
          <w:szCs w:val="28"/>
          <w:highlight w:val="none"/>
        </w:rPr>
        <w:t>招商银行股份有限公司重庆大学城支行</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银行行号：308653000180</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备注：HJ-2022-C158代理费</w:t>
      </w:r>
    </w:p>
    <w:p>
      <w:pPr>
        <w:pStyle w:val="6"/>
        <w:spacing w:before="0" w:after="0" w:line="360" w:lineRule="auto"/>
        <w:rPr>
          <w:rFonts w:ascii="宋体" w:hAnsi="宋体"/>
          <w:color w:val="000000"/>
          <w:sz w:val="28"/>
          <w:szCs w:val="28"/>
          <w:highlight w:val="none"/>
        </w:rPr>
      </w:pPr>
      <w:bookmarkStart w:id="134" w:name="_Toc24601"/>
      <w:bookmarkStart w:id="135" w:name="_Toc22153"/>
      <w:r>
        <w:rPr>
          <w:rFonts w:hint="eastAsia" w:ascii="宋体" w:hAnsi="宋体"/>
          <w:color w:val="000000"/>
          <w:sz w:val="28"/>
          <w:szCs w:val="28"/>
          <w:highlight w:val="none"/>
        </w:rPr>
        <w:t>七、签订</w:t>
      </w:r>
      <w:bookmarkEnd w:id="131"/>
      <w:r>
        <w:rPr>
          <w:rFonts w:hint="eastAsia" w:ascii="宋体" w:hAnsi="宋体"/>
          <w:color w:val="000000"/>
          <w:sz w:val="28"/>
          <w:szCs w:val="28"/>
          <w:highlight w:val="none"/>
        </w:rPr>
        <w:t>合同</w:t>
      </w:r>
      <w:bookmarkEnd w:id="132"/>
      <w:bookmarkEnd w:id="133"/>
      <w:bookmarkEnd w:id="134"/>
      <w:bookmarkEnd w:id="135"/>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（一）比选人应当自中选通知书发出之日起三十日内，按照竞争性比选文件和中选人竞选文件的约定，与中选人签订书面合同。所签订的合同不得对竞争性比选文件和竞选人的竞选文件作实质性修改。</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（二）竞争性比选文件、竞选人的竞选文件及澄清文件等，均为签订采购合同的依据。</w:t>
      </w:r>
    </w:p>
    <w:p>
      <w:pPr>
        <w:snapToGrid w:val="0"/>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（三）合同生效条款由供需双方约定，法律、行政法规规定应当办理批准、登记等手续后生效的合同，依照其规定。</w:t>
      </w:r>
    </w:p>
    <w:p>
      <w:pPr>
        <w:pStyle w:val="5"/>
        <w:spacing w:line="480" w:lineRule="exact"/>
        <w:jc w:val="center"/>
        <w:rPr>
          <w:rFonts w:ascii="宋体" w:hAnsi="宋体" w:eastAsia="宋体"/>
          <w:color w:val="000000"/>
          <w:sz w:val="36"/>
          <w:szCs w:val="36"/>
          <w:highlight w:val="none"/>
        </w:rPr>
      </w:pPr>
      <w:r>
        <w:rPr>
          <w:rFonts w:ascii="宋体" w:hAnsi="宋体"/>
          <w:color w:val="000000"/>
          <w:sz w:val="28"/>
          <w:szCs w:val="28"/>
          <w:highlight w:val="none"/>
        </w:rPr>
        <w:br w:type="page"/>
      </w:r>
      <w:bookmarkStart w:id="136" w:name="_Toc28212"/>
      <w:bookmarkStart w:id="137" w:name="_Toc4502"/>
      <w:r>
        <w:rPr>
          <w:rFonts w:hint="eastAsia" w:ascii="宋体" w:hAnsi="宋体" w:eastAsia="宋体"/>
          <w:color w:val="000000"/>
          <w:sz w:val="36"/>
          <w:szCs w:val="36"/>
          <w:highlight w:val="none"/>
        </w:rPr>
        <w:t>第</w:t>
      </w:r>
      <w:r>
        <w:rPr>
          <w:rFonts w:ascii="宋体" w:hAnsi="宋体" w:eastAsia="宋体"/>
          <w:color w:val="000000"/>
          <w:sz w:val="36"/>
          <w:szCs w:val="36"/>
          <w:highlight w:val="none"/>
        </w:rPr>
        <w:t>六篇</w:t>
      </w:r>
      <w:r>
        <w:rPr>
          <w:rFonts w:hint="eastAsia" w:ascii="宋体" w:hAnsi="宋体" w:eastAsia="宋体"/>
          <w:color w:val="000000"/>
          <w:sz w:val="36"/>
          <w:szCs w:val="36"/>
          <w:highlight w:val="none"/>
        </w:rPr>
        <w:t xml:space="preserve">  采购合同</w:t>
      </w:r>
      <w:bookmarkEnd w:id="136"/>
      <w:bookmarkEnd w:id="137"/>
    </w:p>
    <w:p>
      <w:pPr>
        <w:rPr>
          <w:highlight w:val="none"/>
        </w:rPr>
      </w:pPr>
    </w:p>
    <w:p>
      <w:pPr>
        <w:rPr>
          <w:highlight w:val="none"/>
        </w:rPr>
      </w:pPr>
    </w:p>
    <w:p>
      <w:pPr>
        <w:ind w:firstLine="560" w:firstLineChars="200"/>
        <w:rPr>
          <w:highlight w:val="none"/>
        </w:rPr>
      </w:pPr>
      <w:bookmarkStart w:id="228" w:name="_GoBack"/>
      <w:bookmarkEnd w:id="228"/>
      <w:r>
        <w:rPr>
          <w:rFonts w:hint="eastAsia"/>
          <w:highlight w:val="none"/>
        </w:rPr>
        <w:t>本项目本合同格式此处不作约定，签约双方可根据实际情况商定合同范式。</w:t>
      </w:r>
    </w:p>
    <w:p>
      <w:pPr>
        <w:pStyle w:val="5"/>
        <w:spacing w:line="360" w:lineRule="auto"/>
        <w:jc w:val="center"/>
        <w:rPr>
          <w:rFonts w:ascii="宋体" w:hAnsi="宋体" w:eastAsia="宋体"/>
          <w:color w:val="000000"/>
          <w:sz w:val="36"/>
          <w:szCs w:val="36"/>
          <w:highlight w:val="none"/>
        </w:rPr>
        <w:sectPr>
          <w:pgSz w:w="11907" w:h="16840"/>
          <w:pgMar w:top="850" w:right="850" w:bottom="850" w:left="850" w:header="851" w:footer="992" w:gutter="0"/>
          <w:cols w:space="720" w:num="1"/>
          <w:docGrid w:linePitch="380" w:charSpace="-5735"/>
        </w:sectPr>
      </w:pPr>
    </w:p>
    <w:p>
      <w:pPr>
        <w:pStyle w:val="5"/>
        <w:spacing w:line="360" w:lineRule="auto"/>
        <w:jc w:val="center"/>
        <w:rPr>
          <w:rFonts w:ascii="宋体" w:hAnsi="宋体" w:eastAsia="宋体"/>
          <w:color w:val="000000"/>
          <w:sz w:val="36"/>
          <w:szCs w:val="36"/>
          <w:highlight w:val="none"/>
        </w:rPr>
      </w:pPr>
      <w:bookmarkStart w:id="138" w:name="_Toc7022"/>
    </w:p>
    <w:p>
      <w:pPr>
        <w:pStyle w:val="5"/>
        <w:spacing w:line="360" w:lineRule="auto"/>
        <w:jc w:val="center"/>
        <w:rPr>
          <w:rFonts w:ascii="宋体" w:hAnsi="宋体" w:eastAsia="宋体"/>
          <w:color w:val="000000"/>
          <w:sz w:val="36"/>
          <w:szCs w:val="36"/>
          <w:highlight w:val="none"/>
        </w:rPr>
      </w:pPr>
      <w:bookmarkStart w:id="139" w:name="_Toc13202"/>
      <w:r>
        <w:rPr>
          <w:rFonts w:hint="eastAsia" w:ascii="宋体" w:hAnsi="宋体" w:eastAsia="宋体"/>
          <w:color w:val="000000"/>
          <w:sz w:val="36"/>
          <w:szCs w:val="36"/>
          <w:highlight w:val="none"/>
        </w:rPr>
        <w:t>第</w:t>
      </w:r>
      <w:r>
        <w:rPr>
          <w:rFonts w:ascii="宋体" w:hAnsi="宋体" w:eastAsia="宋体"/>
          <w:color w:val="000000"/>
          <w:sz w:val="36"/>
          <w:szCs w:val="36"/>
          <w:highlight w:val="none"/>
        </w:rPr>
        <w:t>七</w:t>
      </w:r>
      <w:r>
        <w:rPr>
          <w:rFonts w:hint="eastAsia" w:ascii="宋体" w:hAnsi="宋体" w:eastAsia="宋体"/>
          <w:color w:val="000000"/>
          <w:sz w:val="36"/>
          <w:szCs w:val="36"/>
          <w:highlight w:val="none"/>
        </w:rPr>
        <w:t>篇  竞选文件编制要求</w:t>
      </w:r>
      <w:bookmarkEnd w:id="101"/>
      <w:bookmarkEnd w:id="138"/>
      <w:bookmarkEnd w:id="139"/>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一</w:t>
      </w:r>
      <w:r>
        <w:rPr>
          <w:rFonts w:ascii="宋体" w:hAnsi="宋体"/>
          <w:color w:val="000000"/>
          <w:szCs w:val="28"/>
          <w:highlight w:val="none"/>
        </w:rPr>
        <w:t>、</w:t>
      </w:r>
      <w:r>
        <w:rPr>
          <w:rFonts w:hint="eastAsia" w:ascii="宋体" w:hAnsi="宋体"/>
          <w:color w:val="000000"/>
          <w:szCs w:val="28"/>
          <w:highlight w:val="none"/>
        </w:rPr>
        <w:t>竞选文件封</w:t>
      </w:r>
      <w:r>
        <w:rPr>
          <w:rFonts w:ascii="宋体" w:hAnsi="宋体"/>
          <w:color w:val="000000"/>
          <w:szCs w:val="28"/>
          <w:highlight w:val="none"/>
        </w:rPr>
        <w:t>面</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二、经济部分</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（一）竞争性比选报价</w:t>
      </w:r>
    </w:p>
    <w:p>
      <w:pPr>
        <w:spacing w:line="360" w:lineRule="auto"/>
        <w:ind w:firstLine="560" w:firstLineChars="200"/>
        <w:rPr>
          <w:rFonts w:eastAsia="仿宋_GB2312"/>
          <w:highlight w:val="none"/>
        </w:rPr>
      </w:pPr>
      <w:r>
        <w:rPr>
          <w:rFonts w:hint="eastAsia" w:ascii="宋体" w:hAnsi="宋体"/>
          <w:color w:val="000000"/>
          <w:szCs w:val="28"/>
          <w:highlight w:val="none"/>
        </w:rPr>
        <w:t>（二）明细报价表</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三、服务部分</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（一）服务响应偏离表</w:t>
      </w:r>
    </w:p>
    <w:p>
      <w:pPr>
        <w:spacing w:line="360" w:lineRule="auto"/>
        <w:ind w:firstLine="560" w:firstLineChars="200"/>
        <w:rPr>
          <w:rFonts w:ascii="宋体" w:hAnsi="宋体"/>
          <w:color w:val="000000"/>
          <w:szCs w:val="28"/>
          <w:highlight w:val="none"/>
        </w:rPr>
      </w:pPr>
      <w:r>
        <w:rPr>
          <w:rFonts w:ascii="宋体" w:hAnsi="宋体"/>
          <w:color w:val="000000"/>
          <w:szCs w:val="28"/>
          <w:highlight w:val="none"/>
        </w:rPr>
        <w:t>（</w:t>
      </w:r>
      <w:r>
        <w:rPr>
          <w:rFonts w:hint="eastAsia" w:ascii="宋体" w:hAnsi="宋体"/>
          <w:color w:val="000000"/>
          <w:szCs w:val="28"/>
          <w:highlight w:val="none"/>
        </w:rPr>
        <w:t>二</w:t>
      </w:r>
      <w:r>
        <w:rPr>
          <w:rFonts w:ascii="宋体" w:hAnsi="宋体"/>
          <w:color w:val="000000"/>
          <w:szCs w:val="28"/>
          <w:highlight w:val="none"/>
        </w:rPr>
        <w:t>）</w:t>
      </w:r>
      <w:r>
        <w:rPr>
          <w:rFonts w:hint="eastAsia" w:ascii="宋体" w:hAnsi="宋体"/>
          <w:color w:val="000000"/>
          <w:szCs w:val="28"/>
          <w:highlight w:val="none"/>
        </w:rPr>
        <w:t>服务评审需提供的材料（格式自定）</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四、商务部分</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（一）商务响应偏离表</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（二）商务评审需提供的材料（格式自定）</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（三）不可抗力承诺函（格式）</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（四）其它优惠承诺（如有，格式自定。）</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五、资格条件及其他</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（一）资格条件</w:t>
      </w:r>
    </w:p>
    <w:p>
      <w:pPr>
        <w:spacing w:line="360" w:lineRule="auto"/>
        <w:ind w:firstLine="560" w:firstLineChars="200"/>
        <w:rPr>
          <w:rFonts w:ascii="宋体" w:hAnsi="宋体"/>
          <w:color w:val="000000"/>
          <w:szCs w:val="28"/>
          <w:highlight w:val="none"/>
        </w:rPr>
      </w:pPr>
      <w:r>
        <w:rPr>
          <w:rFonts w:hint="eastAsia" w:ascii="宋体" w:hAnsi="宋体"/>
          <w:color w:val="000000"/>
          <w:szCs w:val="28"/>
          <w:highlight w:val="none"/>
        </w:rPr>
        <w:t>（二）其他应提供的资料</w:t>
      </w:r>
    </w:p>
    <w:p>
      <w:pPr>
        <w:spacing w:line="360" w:lineRule="auto"/>
        <w:ind w:firstLine="420" w:firstLineChars="200"/>
        <w:rPr>
          <w:rFonts w:ascii="宋体" w:hAnsi="宋体"/>
          <w:color w:val="000000"/>
          <w:sz w:val="21"/>
          <w:szCs w:val="21"/>
          <w:highlight w:val="none"/>
        </w:rPr>
      </w:pPr>
    </w:p>
    <w:p>
      <w:pPr>
        <w:spacing w:line="360" w:lineRule="auto"/>
        <w:ind w:firstLine="480" w:firstLineChars="200"/>
        <w:rPr>
          <w:rFonts w:ascii="宋体" w:hAnsi="宋体"/>
          <w:color w:val="000000"/>
          <w:sz w:val="24"/>
          <w:szCs w:val="24"/>
          <w:highlight w:val="none"/>
        </w:rPr>
      </w:pPr>
    </w:p>
    <w:p>
      <w:pPr>
        <w:spacing w:line="360" w:lineRule="auto"/>
        <w:ind w:firstLine="480" w:firstLineChars="200"/>
        <w:rPr>
          <w:rFonts w:ascii="宋体" w:hAnsi="宋体"/>
          <w:color w:val="000000"/>
          <w:sz w:val="24"/>
          <w:szCs w:val="24"/>
          <w:highlight w:val="none"/>
        </w:rPr>
      </w:pPr>
    </w:p>
    <w:p>
      <w:pPr>
        <w:spacing w:line="360" w:lineRule="auto"/>
        <w:ind w:firstLine="480" w:firstLineChars="200"/>
        <w:rPr>
          <w:rFonts w:ascii="宋体" w:hAnsi="宋体"/>
          <w:color w:val="000000"/>
          <w:sz w:val="24"/>
          <w:szCs w:val="24"/>
          <w:highlight w:val="none"/>
        </w:rPr>
      </w:pPr>
    </w:p>
    <w:p>
      <w:pPr>
        <w:spacing w:line="360" w:lineRule="auto"/>
        <w:ind w:firstLine="480" w:firstLineChars="200"/>
        <w:rPr>
          <w:rFonts w:ascii="宋体" w:hAnsi="宋体"/>
          <w:color w:val="000000"/>
          <w:sz w:val="24"/>
          <w:szCs w:val="24"/>
          <w:highlight w:val="none"/>
        </w:rPr>
      </w:pPr>
    </w:p>
    <w:p>
      <w:pPr>
        <w:spacing w:line="360" w:lineRule="auto"/>
        <w:ind w:firstLine="480" w:firstLineChars="200"/>
        <w:rPr>
          <w:rFonts w:ascii="宋体" w:hAnsi="宋体"/>
          <w:color w:val="000000"/>
          <w:sz w:val="24"/>
          <w:szCs w:val="24"/>
          <w:highlight w:val="none"/>
        </w:rPr>
      </w:pPr>
    </w:p>
    <w:p>
      <w:pPr>
        <w:spacing w:line="360" w:lineRule="auto"/>
        <w:ind w:firstLine="480" w:firstLineChars="200"/>
        <w:rPr>
          <w:rFonts w:ascii="宋体" w:hAnsi="宋体"/>
          <w:color w:val="000000"/>
          <w:sz w:val="24"/>
          <w:szCs w:val="24"/>
          <w:highlight w:val="none"/>
        </w:rPr>
      </w:pPr>
    </w:p>
    <w:p>
      <w:pPr>
        <w:spacing w:line="360" w:lineRule="auto"/>
        <w:ind w:firstLine="480" w:firstLineChars="200"/>
        <w:rPr>
          <w:rFonts w:ascii="宋体" w:hAnsi="宋体"/>
          <w:color w:val="000000"/>
          <w:sz w:val="24"/>
          <w:szCs w:val="24"/>
          <w:highlight w:val="none"/>
        </w:rPr>
      </w:pPr>
    </w:p>
    <w:p>
      <w:pPr>
        <w:spacing w:line="360" w:lineRule="auto"/>
        <w:ind w:firstLine="480" w:firstLineChars="200"/>
        <w:rPr>
          <w:rFonts w:ascii="宋体" w:hAnsi="宋体"/>
          <w:color w:val="000000"/>
          <w:sz w:val="24"/>
          <w:szCs w:val="24"/>
          <w:highlight w:val="none"/>
        </w:rPr>
      </w:pPr>
    </w:p>
    <w:p>
      <w:pPr>
        <w:spacing w:line="360" w:lineRule="auto"/>
        <w:ind w:firstLine="480" w:firstLineChars="200"/>
        <w:rPr>
          <w:rFonts w:ascii="宋体" w:hAnsi="宋体"/>
          <w:color w:val="000000"/>
          <w:sz w:val="24"/>
          <w:szCs w:val="24"/>
          <w:highlight w:val="none"/>
        </w:rPr>
      </w:pPr>
    </w:p>
    <w:p>
      <w:pPr>
        <w:pStyle w:val="6"/>
        <w:spacing w:before="0" w:after="0" w:line="480" w:lineRule="exact"/>
        <w:rPr>
          <w:rFonts w:ascii="宋体" w:hAnsi="宋体"/>
          <w:b w:val="0"/>
          <w:color w:val="000000"/>
          <w:sz w:val="24"/>
          <w:szCs w:val="24"/>
          <w:highlight w:val="none"/>
        </w:rPr>
      </w:pPr>
      <w:bookmarkStart w:id="140" w:name="_Toc375666796"/>
      <w:bookmarkStart w:id="141" w:name="_Toc328052593"/>
      <w:bookmarkStart w:id="142" w:name="_Toc333412485"/>
      <w:bookmarkStart w:id="143" w:name="_Toc332630166"/>
      <w:bookmarkStart w:id="144" w:name="_Toc294083526"/>
      <w:bookmarkStart w:id="145" w:name="_Toc350093071"/>
      <w:bookmarkStart w:id="146" w:name="_Toc433792168"/>
      <w:bookmarkStart w:id="147" w:name="_Toc375840799"/>
      <w:bookmarkStart w:id="148" w:name="_Toc375841207"/>
      <w:bookmarkStart w:id="149" w:name="_Toc377402559"/>
      <w:bookmarkStart w:id="150" w:name="_Toc350435647"/>
      <w:bookmarkStart w:id="151" w:name="_Toc11602"/>
      <w:bookmarkStart w:id="152" w:name="_Toc6888"/>
      <w:bookmarkStart w:id="153" w:name="_Toc342913419"/>
      <w:bookmarkStart w:id="154" w:name="_Toc313888360"/>
      <w:bookmarkStart w:id="155" w:name="_Toc313008356"/>
      <w:bookmarkStart w:id="156" w:name="_Toc12789073"/>
      <w:bookmarkStart w:id="157" w:name="_Toc283382454"/>
      <w:r>
        <w:rPr>
          <w:rFonts w:hint="eastAsia" w:ascii="宋体" w:hAnsi="宋体"/>
          <w:b w:val="0"/>
          <w:color w:val="000000"/>
          <w:sz w:val="24"/>
          <w:szCs w:val="24"/>
          <w:highlight w:val="none"/>
        </w:rPr>
        <w:t>一</w:t>
      </w:r>
      <w:r>
        <w:rPr>
          <w:rFonts w:ascii="宋体" w:hAnsi="宋体"/>
          <w:b w:val="0"/>
          <w:color w:val="000000"/>
          <w:sz w:val="24"/>
          <w:szCs w:val="24"/>
          <w:highlight w:val="none"/>
        </w:rPr>
        <w:t>、</w:t>
      </w:r>
      <w:r>
        <w:rPr>
          <w:rFonts w:hint="eastAsia" w:ascii="宋体" w:hAnsi="宋体"/>
          <w:b w:val="0"/>
          <w:color w:val="000000"/>
          <w:sz w:val="24"/>
          <w:szCs w:val="24"/>
          <w:highlight w:val="none"/>
        </w:rPr>
        <w:t>竞选文件封面</w:t>
      </w:r>
      <w:bookmarkEnd w:id="140"/>
      <w:bookmarkEnd w:id="141"/>
      <w:bookmarkEnd w:id="142"/>
      <w:bookmarkEnd w:id="143"/>
      <w:bookmarkEnd w:id="144"/>
      <w:bookmarkEnd w:id="145"/>
      <w:bookmarkEnd w:id="146"/>
      <w:bookmarkEnd w:id="147"/>
      <w:bookmarkEnd w:id="148"/>
      <w:bookmarkEnd w:id="149"/>
      <w:bookmarkEnd w:id="150"/>
      <w:bookmarkEnd w:id="151"/>
      <w:bookmarkEnd w:id="152"/>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000000"/>
          <w:kern w:val="0"/>
          <w:sz w:val="84"/>
          <w:szCs w:val="84"/>
          <w:highlight w:val="none"/>
        </w:rPr>
      </w:pPr>
      <w:r>
        <w:rPr>
          <w:rFonts w:hint="eastAsia" w:ascii="宋体" w:hAnsi="宋体" w:cs="MingLiU"/>
          <w:b/>
          <w:color w:val="000000"/>
          <w:kern w:val="0"/>
          <w:sz w:val="84"/>
          <w:szCs w:val="84"/>
          <w:highlight w:val="none"/>
        </w:rPr>
        <w:t>竞选文件</w:t>
      </w: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000000"/>
          <w:kern w:val="0"/>
          <w:sz w:val="84"/>
          <w:szCs w:val="8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000000"/>
          <w:kern w:val="0"/>
          <w:sz w:val="84"/>
          <w:szCs w:val="84"/>
          <w:highlight w:val="none"/>
        </w:rPr>
      </w:pPr>
    </w:p>
    <w:p>
      <w:pPr>
        <w:autoSpaceDE w:val="0"/>
        <w:autoSpaceDN w:val="0"/>
        <w:adjustRightInd w:val="0"/>
        <w:snapToGrid w:val="0"/>
        <w:spacing w:line="360" w:lineRule="auto"/>
        <w:ind w:firstLine="987" w:firstLineChars="355"/>
        <w:jc w:val="left"/>
        <w:rPr>
          <w:rFonts w:ascii="宋体" w:hAnsi="宋体" w:cs="MingLiU"/>
          <w:color w:val="000000"/>
          <w:kern w:val="0"/>
          <w:sz w:val="16"/>
          <w:szCs w:val="16"/>
          <w:highlight w:val="none"/>
        </w:rPr>
      </w:pPr>
      <w:r>
        <w:rPr>
          <w:rFonts w:hint="eastAsia" w:ascii="宋体" w:hAnsi="宋体" w:cs="MingLiU"/>
          <w:b/>
          <w:color w:val="000000"/>
          <w:w w:val="99"/>
          <w:kern w:val="0"/>
          <w:szCs w:val="28"/>
          <w:highlight w:val="none"/>
        </w:rPr>
        <w:t>项目编号：</w:t>
      </w:r>
    </w:p>
    <w:p>
      <w:pPr>
        <w:tabs>
          <w:tab w:val="left" w:pos="6904"/>
        </w:tabs>
        <w:autoSpaceDE w:val="0"/>
        <w:autoSpaceDN w:val="0"/>
        <w:adjustRightInd w:val="0"/>
        <w:snapToGrid w:val="0"/>
        <w:spacing w:line="360" w:lineRule="auto"/>
        <w:ind w:firstLine="987" w:firstLineChars="355"/>
        <w:jc w:val="left"/>
        <w:rPr>
          <w:rFonts w:ascii="宋体" w:hAnsi="宋体" w:cs="MingLiU"/>
          <w:b/>
          <w:color w:val="000000"/>
          <w:w w:val="99"/>
          <w:kern w:val="0"/>
          <w:szCs w:val="28"/>
          <w:highlight w:val="none"/>
        </w:rPr>
      </w:pPr>
      <w:r>
        <w:rPr>
          <w:rFonts w:hint="eastAsia" w:ascii="宋体" w:hAnsi="宋体" w:cs="MingLiU"/>
          <w:b/>
          <w:color w:val="000000"/>
          <w:w w:val="99"/>
          <w:kern w:val="0"/>
          <w:szCs w:val="28"/>
          <w:highlight w:val="none"/>
        </w:rPr>
        <w:t>项目名称：</w:t>
      </w:r>
    </w:p>
    <w:p>
      <w:pPr>
        <w:tabs>
          <w:tab w:val="left" w:pos="6904"/>
        </w:tabs>
        <w:autoSpaceDE w:val="0"/>
        <w:autoSpaceDN w:val="0"/>
        <w:adjustRightInd w:val="0"/>
        <w:snapToGrid w:val="0"/>
        <w:spacing w:line="360" w:lineRule="auto"/>
        <w:ind w:firstLine="954" w:firstLineChars="343"/>
        <w:jc w:val="left"/>
        <w:rPr>
          <w:rFonts w:ascii="宋体" w:hAnsi="宋体" w:cs="MingLiU"/>
          <w:b/>
          <w:color w:val="000000"/>
          <w:w w:val="99"/>
          <w:kern w:val="0"/>
          <w:szCs w:val="28"/>
          <w:highlight w:val="none"/>
          <w:u w:val="single"/>
        </w:rPr>
      </w:pPr>
    </w:p>
    <w:p>
      <w:pPr>
        <w:tabs>
          <w:tab w:val="left" w:pos="6904"/>
        </w:tabs>
        <w:autoSpaceDE w:val="0"/>
        <w:autoSpaceDN w:val="0"/>
        <w:adjustRightInd w:val="0"/>
        <w:snapToGrid w:val="0"/>
        <w:spacing w:line="360" w:lineRule="auto"/>
        <w:ind w:firstLine="954" w:firstLineChars="343"/>
        <w:jc w:val="left"/>
        <w:rPr>
          <w:rFonts w:ascii="宋体" w:hAnsi="宋体" w:cs="MingLiU"/>
          <w:b/>
          <w:color w:val="000000"/>
          <w:w w:val="99"/>
          <w:kern w:val="0"/>
          <w:szCs w:val="28"/>
          <w:highlight w:val="none"/>
          <w:u w:val="single"/>
        </w:rPr>
      </w:pPr>
    </w:p>
    <w:p>
      <w:pPr>
        <w:autoSpaceDE w:val="0"/>
        <w:autoSpaceDN w:val="0"/>
        <w:adjustRightInd w:val="0"/>
        <w:snapToGrid w:val="0"/>
        <w:spacing w:line="360" w:lineRule="auto"/>
        <w:jc w:val="left"/>
        <w:rPr>
          <w:rFonts w:ascii="宋体" w:hAnsi="宋体" w:cs="MingLiU"/>
          <w:b/>
          <w:color w:val="000000"/>
          <w:kern w:val="0"/>
          <w:sz w:val="20"/>
          <w:highlight w:val="none"/>
          <w:u w:val="single"/>
        </w:rPr>
      </w:pPr>
    </w:p>
    <w:p>
      <w:pPr>
        <w:autoSpaceDE w:val="0"/>
        <w:autoSpaceDN w:val="0"/>
        <w:adjustRightInd w:val="0"/>
        <w:snapToGrid w:val="0"/>
        <w:spacing w:line="360" w:lineRule="auto"/>
        <w:jc w:val="left"/>
        <w:rPr>
          <w:rFonts w:ascii="宋体" w:hAnsi="宋体" w:cs="MingLiU"/>
          <w:b/>
          <w:color w:val="000000"/>
          <w:kern w:val="0"/>
          <w:sz w:val="20"/>
          <w:highlight w:val="none"/>
          <w:u w:val="single"/>
        </w:rPr>
      </w:pPr>
    </w:p>
    <w:p>
      <w:pPr>
        <w:autoSpaceDE w:val="0"/>
        <w:autoSpaceDN w:val="0"/>
        <w:adjustRightInd w:val="0"/>
        <w:snapToGrid w:val="0"/>
        <w:spacing w:line="360" w:lineRule="auto"/>
        <w:jc w:val="left"/>
        <w:rPr>
          <w:rFonts w:ascii="宋体" w:hAnsi="宋体" w:cs="MingLiU"/>
          <w:b/>
          <w:color w:val="000000"/>
          <w:kern w:val="0"/>
          <w:sz w:val="20"/>
          <w:highlight w:val="none"/>
        </w:rPr>
      </w:pPr>
    </w:p>
    <w:p>
      <w:pPr>
        <w:autoSpaceDE w:val="0"/>
        <w:autoSpaceDN w:val="0"/>
        <w:adjustRightInd w:val="0"/>
        <w:snapToGrid w:val="0"/>
        <w:spacing w:line="360" w:lineRule="auto"/>
        <w:jc w:val="left"/>
        <w:rPr>
          <w:rFonts w:ascii="宋体" w:hAnsi="宋体" w:cs="MingLiU"/>
          <w:b/>
          <w:color w:val="000000"/>
          <w:kern w:val="0"/>
          <w:sz w:val="20"/>
          <w:highlight w:val="none"/>
        </w:rPr>
      </w:pPr>
    </w:p>
    <w:p>
      <w:pPr>
        <w:tabs>
          <w:tab w:val="left" w:pos="6080"/>
          <w:tab w:val="left" w:pos="6640"/>
        </w:tabs>
        <w:autoSpaceDE w:val="0"/>
        <w:autoSpaceDN w:val="0"/>
        <w:adjustRightInd w:val="0"/>
        <w:snapToGrid w:val="0"/>
        <w:spacing w:line="360" w:lineRule="auto"/>
        <w:ind w:firstLine="1251" w:firstLineChars="450"/>
        <w:rPr>
          <w:rFonts w:ascii="宋体" w:hAnsi="宋体"/>
          <w:b/>
          <w:color w:val="000000"/>
          <w:w w:val="99"/>
          <w:kern w:val="0"/>
          <w:szCs w:val="28"/>
          <w:highlight w:val="none"/>
        </w:rPr>
      </w:pPr>
      <w:r>
        <w:rPr>
          <w:rFonts w:hint="eastAsia" w:ascii="宋体" w:hAnsi="宋体" w:cs="MingLiU"/>
          <w:b/>
          <w:color w:val="000000"/>
          <w:w w:val="99"/>
          <w:kern w:val="0"/>
          <w:szCs w:val="28"/>
          <w:highlight w:val="none"/>
        </w:rPr>
        <w:t>竞选人</w:t>
      </w:r>
      <w:r>
        <w:rPr>
          <w:rFonts w:hint="eastAsia" w:ascii="宋体" w:hAnsi="宋体" w:cs="MingLiU"/>
          <w:b/>
          <w:color w:val="000000"/>
          <w:spacing w:val="1"/>
          <w:w w:val="99"/>
          <w:kern w:val="0"/>
          <w:szCs w:val="28"/>
          <w:highlight w:val="none"/>
        </w:rPr>
        <w:t>：</w:t>
      </w:r>
      <w:r>
        <w:rPr>
          <w:rFonts w:hint="eastAsia" w:ascii="宋体" w:hAnsi="宋体" w:cs="MingLiU"/>
          <w:b/>
          <w:color w:val="000000"/>
          <w:w w:val="198"/>
          <w:kern w:val="0"/>
          <w:szCs w:val="28"/>
          <w:highlight w:val="none"/>
          <w:u w:val="single"/>
        </w:rPr>
        <w:t xml:space="preserve"> 　　　　 　　</w:t>
      </w:r>
      <w:r>
        <w:rPr>
          <w:rFonts w:hint="eastAsia" w:ascii="宋体" w:hAnsi="宋体" w:cs="MingLiU"/>
          <w:b/>
          <w:color w:val="000000"/>
          <w:w w:val="99"/>
          <w:kern w:val="0"/>
          <w:szCs w:val="28"/>
          <w:highlight w:val="none"/>
        </w:rPr>
        <w:t>（公章）</w:t>
      </w:r>
    </w:p>
    <w:p>
      <w:pPr>
        <w:tabs>
          <w:tab w:val="left" w:pos="6080"/>
          <w:tab w:val="left" w:pos="6640"/>
        </w:tabs>
        <w:autoSpaceDE w:val="0"/>
        <w:autoSpaceDN w:val="0"/>
        <w:adjustRightInd w:val="0"/>
        <w:snapToGrid w:val="0"/>
        <w:spacing w:line="360" w:lineRule="auto"/>
        <w:ind w:firstLine="1251" w:firstLineChars="450"/>
        <w:rPr>
          <w:rFonts w:ascii="宋体" w:hAnsi="宋体" w:cs="MingLiU"/>
          <w:b/>
          <w:color w:val="000000"/>
          <w:w w:val="99"/>
          <w:kern w:val="0"/>
          <w:szCs w:val="28"/>
          <w:highlight w:val="none"/>
        </w:rPr>
      </w:pPr>
      <w:r>
        <w:rPr>
          <w:rFonts w:hint="eastAsia" w:ascii="宋体" w:hAnsi="宋体" w:cs="MingLiU"/>
          <w:b/>
          <w:color w:val="000000"/>
          <w:w w:val="99"/>
          <w:kern w:val="0"/>
          <w:szCs w:val="28"/>
          <w:highlight w:val="none"/>
        </w:rPr>
        <w:t>法定代表人或其授权代表：</w:t>
      </w:r>
      <w:r>
        <w:rPr>
          <w:rFonts w:hint="eastAsia" w:ascii="宋体" w:hAnsi="宋体" w:cs="MingLiU"/>
          <w:b/>
          <w:color w:val="000000"/>
          <w:w w:val="198"/>
          <w:kern w:val="0"/>
          <w:szCs w:val="28"/>
          <w:highlight w:val="none"/>
          <w:u w:val="single"/>
        </w:rPr>
        <w:t xml:space="preserve"> 　　 　</w:t>
      </w:r>
      <w:r>
        <w:rPr>
          <w:rFonts w:hint="eastAsia" w:ascii="宋体" w:hAnsi="宋体" w:cs="MingLiU"/>
          <w:b/>
          <w:color w:val="000000"/>
          <w:w w:val="99"/>
          <w:kern w:val="0"/>
          <w:szCs w:val="28"/>
          <w:highlight w:val="none"/>
        </w:rPr>
        <w:t>（签字）</w:t>
      </w:r>
    </w:p>
    <w:p>
      <w:pPr>
        <w:tabs>
          <w:tab w:val="left" w:pos="6080"/>
          <w:tab w:val="left" w:pos="6640"/>
        </w:tabs>
        <w:autoSpaceDE w:val="0"/>
        <w:autoSpaceDN w:val="0"/>
        <w:adjustRightInd w:val="0"/>
        <w:snapToGrid w:val="0"/>
        <w:spacing w:line="360" w:lineRule="auto"/>
        <w:ind w:firstLine="1251" w:firstLineChars="450"/>
        <w:rPr>
          <w:rFonts w:ascii="宋体" w:hAnsi="宋体" w:cs="MingLiU"/>
          <w:b/>
          <w:color w:val="000000"/>
          <w:w w:val="99"/>
          <w:kern w:val="0"/>
          <w:szCs w:val="28"/>
          <w:highlight w:val="none"/>
        </w:rPr>
      </w:pPr>
    </w:p>
    <w:p>
      <w:pPr>
        <w:tabs>
          <w:tab w:val="left" w:pos="3280"/>
          <w:tab w:val="left" w:pos="4680"/>
          <w:tab w:val="left" w:pos="6080"/>
        </w:tabs>
        <w:autoSpaceDE w:val="0"/>
        <w:autoSpaceDN w:val="0"/>
        <w:adjustRightInd w:val="0"/>
        <w:snapToGrid w:val="0"/>
        <w:spacing w:line="360" w:lineRule="auto"/>
        <w:jc w:val="center"/>
        <w:rPr>
          <w:rFonts w:ascii="宋体" w:hAnsi="宋体" w:cs="MingLiU"/>
          <w:b/>
          <w:color w:val="000000"/>
          <w:w w:val="99"/>
          <w:kern w:val="0"/>
          <w:szCs w:val="28"/>
          <w:highlight w:val="none"/>
        </w:rPr>
      </w:pPr>
      <w:r>
        <w:rPr>
          <w:rFonts w:hint="eastAsia" w:ascii="宋体" w:hAnsi="宋体" w:cs="MingLiU"/>
          <w:b/>
          <w:color w:val="000000"/>
          <w:w w:val="99"/>
          <w:kern w:val="0"/>
          <w:szCs w:val="28"/>
          <w:highlight w:val="none"/>
          <w:u w:val="single"/>
        </w:rPr>
        <w:t xml:space="preserve">     　</w:t>
      </w:r>
      <w:r>
        <w:rPr>
          <w:rFonts w:hint="eastAsia" w:ascii="宋体" w:hAnsi="宋体" w:cs="MingLiU"/>
          <w:b/>
          <w:color w:val="000000"/>
          <w:w w:val="99"/>
          <w:kern w:val="0"/>
          <w:szCs w:val="28"/>
          <w:highlight w:val="none"/>
        </w:rPr>
        <w:t>年</w:t>
      </w:r>
      <w:r>
        <w:rPr>
          <w:rFonts w:hint="eastAsia" w:ascii="宋体" w:hAnsi="宋体" w:cs="MingLiU"/>
          <w:b/>
          <w:color w:val="000000"/>
          <w:w w:val="99"/>
          <w:kern w:val="0"/>
          <w:szCs w:val="28"/>
          <w:highlight w:val="none"/>
          <w:u w:val="single"/>
        </w:rPr>
        <w:t>　</w:t>
      </w:r>
      <w:r>
        <w:rPr>
          <w:rFonts w:hint="eastAsia" w:ascii="宋体" w:hAnsi="宋体" w:cs="MingLiU"/>
          <w:b/>
          <w:color w:val="000000"/>
          <w:w w:val="99"/>
          <w:kern w:val="0"/>
          <w:szCs w:val="28"/>
          <w:highlight w:val="none"/>
        </w:rPr>
        <w:t>月</w:t>
      </w:r>
      <w:r>
        <w:rPr>
          <w:rFonts w:hint="eastAsia" w:ascii="宋体" w:hAnsi="宋体" w:cs="MingLiU"/>
          <w:b/>
          <w:color w:val="000000"/>
          <w:w w:val="99"/>
          <w:kern w:val="0"/>
          <w:szCs w:val="28"/>
          <w:highlight w:val="none"/>
          <w:u w:val="single"/>
        </w:rPr>
        <w:t>　</w:t>
      </w:r>
      <w:r>
        <w:rPr>
          <w:rFonts w:hint="eastAsia" w:ascii="宋体" w:hAnsi="宋体" w:cs="MingLiU"/>
          <w:b/>
          <w:color w:val="000000"/>
          <w:w w:val="99"/>
          <w:kern w:val="0"/>
          <w:szCs w:val="28"/>
          <w:highlight w:val="none"/>
        </w:rPr>
        <w:t>日</w:t>
      </w:r>
    </w:p>
    <w:p>
      <w:pPr>
        <w:pStyle w:val="6"/>
        <w:spacing w:before="0" w:after="0" w:line="480" w:lineRule="exact"/>
        <w:rPr>
          <w:rFonts w:ascii="宋体" w:hAnsi="宋体"/>
          <w:b w:val="0"/>
          <w:color w:val="000000"/>
          <w:sz w:val="24"/>
          <w:szCs w:val="24"/>
          <w:highlight w:val="none"/>
        </w:rPr>
      </w:pPr>
      <w:bookmarkStart w:id="158" w:name="_Toc2658"/>
      <w:bookmarkStart w:id="159" w:name="_Toc433792169"/>
      <w:bookmarkStart w:id="160" w:name="_Toc26870"/>
      <w:r>
        <w:rPr>
          <w:rFonts w:hint="eastAsia" w:ascii="宋体" w:hAnsi="宋体"/>
          <w:b w:val="0"/>
          <w:color w:val="000000"/>
          <w:sz w:val="24"/>
          <w:szCs w:val="24"/>
          <w:highlight w:val="none"/>
        </w:rPr>
        <w:t>二、经济部分</w:t>
      </w:r>
      <w:bookmarkEnd w:id="153"/>
      <w:bookmarkEnd w:id="154"/>
      <w:bookmarkEnd w:id="155"/>
      <w:bookmarkEnd w:id="158"/>
      <w:bookmarkEnd w:id="159"/>
      <w:bookmarkEnd w:id="160"/>
    </w:p>
    <w:bookmarkEnd w:id="156"/>
    <w:bookmarkEnd w:id="157"/>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（一）竞争性比选报价函</w:t>
      </w:r>
    </w:p>
    <w:p>
      <w:pPr>
        <w:tabs>
          <w:tab w:val="left" w:pos="6300"/>
        </w:tabs>
        <w:snapToGrid w:val="0"/>
        <w:spacing w:line="480" w:lineRule="exact"/>
        <w:jc w:val="center"/>
        <w:rPr>
          <w:rFonts w:ascii="宋体" w:hAnsi="宋体"/>
          <w:color w:val="000000"/>
          <w:sz w:val="24"/>
          <w:szCs w:val="24"/>
          <w:highlight w:val="none"/>
        </w:rPr>
      </w:pPr>
      <w:r>
        <w:rPr>
          <w:rFonts w:hint="eastAsia" w:ascii="宋体" w:hAnsi="宋体"/>
          <w:color w:val="000000"/>
          <w:sz w:val="24"/>
          <w:szCs w:val="24"/>
          <w:highlight w:val="none"/>
        </w:rPr>
        <w:t>竞争性比选报价函</w:t>
      </w:r>
    </w:p>
    <w:p>
      <w:pPr>
        <w:tabs>
          <w:tab w:val="left" w:pos="6300"/>
        </w:tabs>
        <w:snapToGrid w:val="0"/>
        <w:spacing w:line="480" w:lineRule="exact"/>
        <w:rPr>
          <w:rFonts w:ascii="宋体" w:hAnsi="宋体"/>
          <w:color w:val="000000"/>
          <w:sz w:val="24"/>
          <w:szCs w:val="24"/>
          <w:highlight w:val="none"/>
        </w:rPr>
      </w:pPr>
      <w:r>
        <w:rPr>
          <w:rFonts w:hint="eastAsia" w:ascii="宋体" w:hAnsi="宋体"/>
          <w:color w:val="000000"/>
          <w:sz w:val="24"/>
          <w:szCs w:val="24"/>
          <w:highlight w:val="none"/>
          <w:u w:val="single"/>
        </w:rPr>
        <w:t xml:space="preserve">（比选人名称）                   </w:t>
      </w:r>
      <w:r>
        <w:rPr>
          <w:rFonts w:hint="eastAsia" w:ascii="宋体" w:hAnsi="宋体"/>
          <w:color w:val="000000"/>
          <w:sz w:val="24"/>
          <w:szCs w:val="24"/>
          <w:highlight w:val="none"/>
        </w:rPr>
        <w:t>：</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我方收到____________________________（比选项目名称）的竞争性比选文件，经详细研究，决定参加该比选项目的比选。</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1．愿意按照竞争性比选文件中的一切要求，提供本项目服务，报价为人民币大写：_____________________；人民币小写：_____________________。</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2．我方现提交的竞选文件为：竞选文件正本</w:t>
      </w:r>
      <w:r>
        <w:rPr>
          <w:rFonts w:hint="eastAsia" w:ascii="宋体" w:hAnsi="宋体"/>
          <w:color w:val="000000"/>
          <w:sz w:val="24"/>
          <w:szCs w:val="24"/>
          <w:highlight w:val="none"/>
          <w:u w:val="single"/>
        </w:rPr>
        <w:t xml:space="preserve"> 1 </w:t>
      </w:r>
      <w:r>
        <w:rPr>
          <w:rFonts w:hint="eastAsia" w:ascii="宋体" w:hAnsi="宋体"/>
          <w:color w:val="000000"/>
          <w:sz w:val="24"/>
          <w:szCs w:val="24"/>
          <w:highlight w:val="none"/>
        </w:rPr>
        <w:t>份，副本</w:t>
      </w:r>
      <w:r>
        <w:rPr>
          <w:rFonts w:hint="eastAsia" w:ascii="宋体" w:hAnsi="宋体"/>
          <w:color w:val="000000"/>
          <w:sz w:val="24"/>
          <w:szCs w:val="24"/>
          <w:highlight w:val="none"/>
          <w:u w:val="single"/>
        </w:rPr>
        <w:t xml:space="preserve"> 2 </w:t>
      </w:r>
      <w:r>
        <w:rPr>
          <w:rFonts w:hint="eastAsia" w:ascii="宋体" w:hAnsi="宋体"/>
          <w:color w:val="000000"/>
          <w:sz w:val="24"/>
          <w:szCs w:val="24"/>
          <w:highlight w:val="none"/>
        </w:rPr>
        <w:t>份。</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3．我方承诺：本次比选的有效期为90天。</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4．我方完全理解和接受贵方竞争性比选文件的一切规定和要求及比选评审办法。</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5．在整个竞争性比选过程中，我方若有违规行为，接受按照相关法律法规和《竞争性比选文件》之规定给予惩罚。</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6．我方若成为中选人，将按照最终比选结果签订合同，并且严格履行合同义务。本承诺函将成为合同不可分割的一部分，与合同具有同等的法律效力。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7．我方同意按竞争性比选文件规定，交纳竞争性比选文件要求的保证金。如果我方成为中选人，保证在接到中选通知书的</w:t>
      </w:r>
      <w:r>
        <w:rPr>
          <w:rFonts w:ascii="宋体" w:hAnsi="宋体"/>
          <w:color w:val="000000"/>
          <w:sz w:val="24"/>
          <w:szCs w:val="24"/>
          <w:highlight w:val="none"/>
        </w:rPr>
        <w:t>同时</w:t>
      </w:r>
      <w:r>
        <w:rPr>
          <w:rFonts w:hint="eastAsia" w:ascii="宋体" w:hAnsi="宋体"/>
          <w:color w:val="000000"/>
          <w:sz w:val="24"/>
          <w:szCs w:val="24"/>
          <w:highlight w:val="none"/>
        </w:rPr>
        <w:t>，向比选代理机构交纳竞争性比选文件规定的比选代理服务费。</w:t>
      </w:r>
    </w:p>
    <w:p>
      <w:pPr>
        <w:tabs>
          <w:tab w:val="left" w:pos="6300"/>
        </w:tabs>
        <w:snapToGrid w:val="0"/>
        <w:spacing w:line="480" w:lineRule="exact"/>
        <w:ind w:firstLine="570"/>
        <w:rPr>
          <w:rFonts w:ascii="宋体" w:hAnsi="宋体"/>
          <w:color w:val="000000"/>
          <w:sz w:val="24"/>
          <w:szCs w:val="24"/>
          <w:highlight w:val="none"/>
        </w:rPr>
      </w:pPr>
      <w:r>
        <w:rPr>
          <w:rFonts w:hint="eastAsia" w:ascii="宋体" w:hAnsi="宋体"/>
          <w:color w:val="000000"/>
          <w:sz w:val="24"/>
          <w:szCs w:val="24"/>
          <w:highlight w:val="none"/>
        </w:rPr>
        <w:t>竞选人（公章）：</w:t>
      </w:r>
    </w:p>
    <w:p>
      <w:pPr>
        <w:tabs>
          <w:tab w:val="left" w:pos="6300"/>
        </w:tabs>
        <w:snapToGrid w:val="0"/>
        <w:spacing w:line="480" w:lineRule="exact"/>
        <w:ind w:firstLine="570"/>
        <w:rPr>
          <w:rFonts w:ascii="宋体" w:hAnsi="宋体"/>
          <w:color w:val="000000"/>
          <w:sz w:val="24"/>
          <w:szCs w:val="24"/>
          <w:highlight w:val="none"/>
        </w:rPr>
      </w:pPr>
      <w:r>
        <w:rPr>
          <w:rFonts w:hint="eastAsia" w:ascii="宋体" w:hAnsi="宋体"/>
          <w:color w:val="000000"/>
          <w:sz w:val="24"/>
          <w:szCs w:val="24"/>
          <w:highlight w:val="none"/>
        </w:rPr>
        <w:t xml:space="preserve">地址：  </w:t>
      </w:r>
    </w:p>
    <w:p>
      <w:pPr>
        <w:tabs>
          <w:tab w:val="left" w:pos="6300"/>
        </w:tabs>
        <w:snapToGrid w:val="0"/>
        <w:spacing w:line="480" w:lineRule="exact"/>
        <w:ind w:firstLine="570"/>
        <w:rPr>
          <w:rFonts w:ascii="宋体" w:hAnsi="宋体"/>
          <w:color w:val="000000"/>
          <w:sz w:val="24"/>
          <w:szCs w:val="24"/>
          <w:highlight w:val="none"/>
        </w:rPr>
      </w:pPr>
      <w:r>
        <w:rPr>
          <w:rFonts w:hint="eastAsia" w:ascii="宋体" w:hAnsi="宋体"/>
          <w:color w:val="000000"/>
          <w:sz w:val="24"/>
          <w:szCs w:val="24"/>
          <w:highlight w:val="none"/>
        </w:rPr>
        <w:t>电话：                           传真：</w:t>
      </w:r>
    </w:p>
    <w:p>
      <w:pPr>
        <w:tabs>
          <w:tab w:val="left" w:pos="6300"/>
        </w:tabs>
        <w:snapToGrid w:val="0"/>
        <w:spacing w:line="480" w:lineRule="exact"/>
        <w:ind w:firstLine="570"/>
        <w:rPr>
          <w:rFonts w:ascii="宋体" w:hAnsi="宋体"/>
          <w:color w:val="000000"/>
          <w:sz w:val="24"/>
          <w:szCs w:val="24"/>
          <w:highlight w:val="none"/>
        </w:rPr>
      </w:pPr>
      <w:r>
        <w:rPr>
          <w:rFonts w:hint="eastAsia" w:ascii="宋体" w:hAnsi="宋体"/>
          <w:color w:val="000000"/>
          <w:sz w:val="24"/>
          <w:szCs w:val="24"/>
          <w:highlight w:val="none"/>
        </w:rPr>
        <w:t>网址：                           邮编：</w:t>
      </w:r>
    </w:p>
    <w:p>
      <w:pPr>
        <w:tabs>
          <w:tab w:val="left" w:pos="6300"/>
        </w:tabs>
        <w:snapToGrid w:val="0"/>
        <w:spacing w:line="480" w:lineRule="exact"/>
        <w:ind w:firstLine="570"/>
        <w:rPr>
          <w:rFonts w:ascii="宋体" w:hAnsi="宋体"/>
          <w:color w:val="000000"/>
          <w:sz w:val="24"/>
          <w:szCs w:val="24"/>
          <w:highlight w:val="none"/>
        </w:rPr>
      </w:pPr>
      <w:r>
        <w:rPr>
          <w:rFonts w:hint="eastAsia" w:ascii="宋体" w:hAnsi="宋体"/>
          <w:color w:val="000000"/>
          <w:sz w:val="24"/>
          <w:szCs w:val="24"/>
          <w:highlight w:val="none"/>
        </w:rPr>
        <w:t>联系人：</w:t>
      </w:r>
    </w:p>
    <w:p>
      <w:pPr>
        <w:snapToGrid w:val="0"/>
        <w:spacing w:line="480" w:lineRule="exact"/>
        <w:ind w:firstLine="480" w:firstLineChars="200"/>
        <w:rPr>
          <w:rFonts w:ascii="宋体" w:hAnsi="宋体"/>
          <w:color w:val="000000"/>
          <w:sz w:val="24"/>
          <w:szCs w:val="24"/>
          <w:highlight w:val="none"/>
        </w:rPr>
      </w:pPr>
    </w:p>
    <w:p>
      <w:pPr>
        <w:snapToGrid w:val="0"/>
        <w:spacing w:line="480" w:lineRule="exact"/>
        <w:ind w:firstLine="5280" w:firstLineChars="2200"/>
        <w:rPr>
          <w:rFonts w:ascii="宋体" w:hAnsi="宋体"/>
          <w:color w:val="000000"/>
          <w:sz w:val="24"/>
          <w:szCs w:val="24"/>
          <w:highlight w:val="none"/>
        </w:rPr>
        <w:sectPr>
          <w:pgSz w:w="11907" w:h="16840"/>
          <w:pgMar w:top="850" w:right="850" w:bottom="850" w:left="850" w:header="851" w:footer="992" w:gutter="0"/>
          <w:cols w:space="720" w:num="1"/>
          <w:docGrid w:linePitch="380" w:charSpace="-5735"/>
        </w:sectPr>
      </w:pPr>
      <w:r>
        <w:rPr>
          <w:rFonts w:hint="eastAsia" w:ascii="宋体" w:hAnsi="宋体"/>
          <w:color w:val="000000"/>
          <w:sz w:val="24"/>
          <w:szCs w:val="24"/>
          <w:highlight w:val="none"/>
        </w:rPr>
        <w:t xml:space="preserve">  年   月   日</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（二）明细报价表</w:t>
      </w:r>
    </w:p>
    <w:p>
      <w:pPr>
        <w:tabs>
          <w:tab w:val="left" w:pos="6300"/>
        </w:tabs>
        <w:snapToGrid w:val="0"/>
        <w:spacing w:line="480" w:lineRule="exact"/>
        <w:ind w:firstLine="480" w:firstLineChars="200"/>
        <w:jc w:val="center"/>
        <w:rPr>
          <w:rFonts w:ascii="宋体" w:hAnsi="宋体"/>
          <w:color w:val="000000"/>
          <w:sz w:val="24"/>
          <w:szCs w:val="24"/>
          <w:highlight w:val="none"/>
        </w:rPr>
      </w:pPr>
      <w:r>
        <w:rPr>
          <w:rFonts w:hint="eastAsia" w:ascii="宋体" w:hAnsi="宋体"/>
          <w:color w:val="000000"/>
          <w:sz w:val="24"/>
          <w:szCs w:val="24"/>
          <w:highlight w:val="none"/>
        </w:rPr>
        <w:t>明细报价表</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项目名称：</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序号</w:t>
            </w:r>
          </w:p>
        </w:tc>
        <w:tc>
          <w:tcPr>
            <w:tcW w:w="1695"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名称</w:t>
            </w:r>
          </w:p>
        </w:tc>
        <w:tc>
          <w:tcPr>
            <w:tcW w:w="3404"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相关信息</w:t>
            </w:r>
          </w:p>
        </w:tc>
        <w:tc>
          <w:tcPr>
            <w:tcW w:w="1344"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数量</w:t>
            </w:r>
          </w:p>
        </w:tc>
        <w:tc>
          <w:tcPr>
            <w:tcW w:w="1344"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单价</w:t>
            </w:r>
          </w:p>
        </w:tc>
        <w:tc>
          <w:tcPr>
            <w:tcW w:w="1344"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w:t>
            </w:r>
          </w:p>
        </w:tc>
        <w:tc>
          <w:tcPr>
            <w:tcW w:w="1695"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2</w:t>
            </w:r>
          </w:p>
        </w:tc>
        <w:tc>
          <w:tcPr>
            <w:tcW w:w="1695"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3</w:t>
            </w:r>
          </w:p>
        </w:tc>
        <w:tc>
          <w:tcPr>
            <w:tcW w:w="1695"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w:t>
            </w:r>
          </w:p>
        </w:tc>
        <w:tc>
          <w:tcPr>
            <w:tcW w:w="1695"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5</w:t>
            </w:r>
          </w:p>
        </w:tc>
        <w:tc>
          <w:tcPr>
            <w:tcW w:w="1695"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6</w:t>
            </w:r>
          </w:p>
        </w:tc>
        <w:tc>
          <w:tcPr>
            <w:tcW w:w="1695"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p>
        </w:tc>
        <w:tc>
          <w:tcPr>
            <w:tcW w:w="1695"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8</w:t>
            </w:r>
          </w:p>
        </w:tc>
        <w:tc>
          <w:tcPr>
            <w:tcW w:w="1695"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9</w:t>
            </w:r>
          </w:p>
        </w:tc>
        <w:tc>
          <w:tcPr>
            <w:tcW w:w="1695"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10</w:t>
            </w:r>
          </w:p>
        </w:tc>
        <w:tc>
          <w:tcPr>
            <w:tcW w:w="1695"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11</w:t>
            </w:r>
          </w:p>
        </w:tc>
        <w:tc>
          <w:tcPr>
            <w:tcW w:w="1695"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12</w:t>
            </w:r>
          </w:p>
        </w:tc>
        <w:tc>
          <w:tcPr>
            <w:tcW w:w="1695" w:type="dxa"/>
            <w:vAlign w:val="center"/>
          </w:tcPr>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总计</w:t>
            </w:r>
          </w:p>
        </w:tc>
        <w:tc>
          <w:tcPr>
            <w:tcW w:w="7436" w:type="dxa"/>
            <w:gridSpan w:val="4"/>
          </w:tcPr>
          <w:p>
            <w:pPr>
              <w:tabs>
                <w:tab w:val="left" w:pos="6300"/>
              </w:tabs>
              <w:snapToGrid w:val="0"/>
              <w:spacing w:line="480" w:lineRule="exact"/>
              <w:ind w:firstLine="480" w:firstLineChars="200"/>
              <w:rPr>
                <w:rFonts w:ascii="宋体" w:hAnsi="宋体"/>
                <w:color w:val="000000"/>
                <w:sz w:val="24"/>
                <w:szCs w:val="24"/>
                <w:highlight w:val="none"/>
              </w:rPr>
            </w:pPr>
          </w:p>
        </w:tc>
      </w:tr>
    </w:tbl>
    <w:p>
      <w:pPr>
        <w:tabs>
          <w:tab w:val="left" w:pos="6300"/>
        </w:tabs>
        <w:snapToGrid w:val="0"/>
        <w:spacing w:line="480" w:lineRule="exact"/>
        <w:ind w:firstLine="480" w:firstLineChars="200"/>
        <w:rPr>
          <w:rFonts w:ascii="宋体" w:hAnsi="宋体"/>
          <w:color w:val="000000"/>
          <w:sz w:val="24"/>
          <w:szCs w:val="24"/>
          <w:highlight w:val="none"/>
        </w:rPr>
      </w:pP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注：1、请竞选人完整填写本表。</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 xml:space="preserve">        2、该表可扩展</w:t>
      </w:r>
      <w:bookmarkStart w:id="161" w:name="OLE_LINK2"/>
      <w:bookmarkStart w:id="162" w:name="OLE_LINK1"/>
      <w:r>
        <w:rPr>
          <w:rFonts w:hint="eastAsia" w:ascii="宋体" w:hAnsi="宋体"/>
          <w:color w:val="000000"/>
          <w:sz w:val="24"/>
          <w:szCs w:val="24"/>
          <w:highlight w:val="none"/>
        </w:rPr>
        <w:t>。</w:t>
      </w:r>
      <w:bookmarkEnd w:id="161"/>
      <w:bookmarkEnd w:id="162"/>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 xml:space="preserve">        3、该表可根据项目实际情况调整。</w:t>
      </w:r>
    </w:p>
    <w:p>
      <w:pPr>
        <w:tabs>
          <w:tab w:val="left" w:pos="6300"/>
        </w:tabs>
        <w:snapToGrid w:val="0"/>
        <w:spacing w:line="480" w:lineRule="exact"/>
        <w:ind w:firstLine="480" w:firstLineChars="200"/>
        <w:rPr>
          <w:rFonts w:ascii="宋体" w:hAnsi="宋体"/>
          <w:color w:val="000000"/>
          <w:sz w:val="24"/>
          <w:szCs w:val="24"/>
          <w:highlight w:val="none"/>
        </w:rPr>
      </w:pP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 xml:space="preserve">            </w:t>
      </w:r>
    </w:p>
    <w:p>
      <w:pPr>
        <w:tabs>
          <w:tab w:val="left" w:pos="6300"/>
        </w:tabs>
        <w:snapToGrid w:val="0"/>
        <w:spacing w:line="480" w:lineRule="exact"/>
        <w:ind w:firstLine="480" w:firstLineChars="200"/>
        <w:rPr>
          <w:rFonts w:ascii="宋体" w:hAnsi="宋体"/>
          <w:color w:val="000000"/>
          <w:sz w:val="24"/>
          <w:szCs w:val="24"/>
          <w:highlight w:val="none"/>
        </w:rPr>
      </w:pPr>
    </w:p>
    <w:p>
      <w:pPr>
        <w:tabs>
          <w:tab w:val="left" w:pos="6300"/>
        </w:tabs>
        <w:snapToGrid w:val="0"/>
        <w:spacing w:line="480" w:lineRule="exact"/>
        <w:ind w:firstLine="480" w:firstLineChars="200"/>
        <w:rPr>
          <w:rFonts w:ascii="宋体" w:hAnsi="宋体"/>
          <w:color w:val="000000"/>
          <w:sz w:val="24"/>
          <w:szCs w:val="24"/>
          <w:highlight w:val="none"/>
        </w:rPr>
      </w:pP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 xml:space="preserve">                                                  竞选人名称（公章）：</w:t>
      </w:r>
    </w:p>
    <w:p>
      <w:pPr>
        <w:tabs>
          <w:tab w:val="left" w:pos="6300"/>
        </w:tabs>
        <w:snapToGrid w:val="0"/>
        <w:spacing w:line="480" w:lineRule="exact"/>
        <w:ind w:firstLine="6960" w:firstLineChars="2900"/>
        <w:rPr>
          <w:rFonts w:ascii="宋体" w:hAnsi="宋体"/>
          <w:color w:val="000000"/>
          <w:sz w:val="24"/>
          <w:szCs w:val="24"/>
          <w:highlight w:val="none"/>
        </w:rPr>
      </w:pPr>
      <w:r>
        <w:rPr>
          <w:rFonts w:hint="eastAsia" w:ascii="宋体" w:hAnsi="宋体"/>
          <w:color w:val="000000"/>
          <w:sz w:val="24"/>
          <w:szCs w:val="24"/>
          <w:highlight w:val="none"/>
        </w:rPr>
        <w:t>年     月    日</w:t>
      </w:r>
    </w:p>
    <w:p>
      <w:pPr>
        <w:tabs>
          <w:tab w:val="left" w:pos="6300"/>
        </w:tabs>
        <w:snapToGrid w:val="0"/>
        <w:spacing w:line="480" w:lineRule="exact"/>
        <w:ind w:firstLine="480" w:firstLineChars="200"/>
        <w:rPr>
          <w:rFonts w:ascii="宋体" w:hAnsi="宋体"/>
          <w:color w:val="000000"/>
          <w:sz w:val="24"/>
          <w:szCs w:val="24"/>
          <w:highlight w:val="none"/>
        </w:rPr>
        <w:sectPr>
          <w:headerReference r:id="rId10" w:type="default"/>
          <w:pgSz w:w="11907" w:h="16840"/>
          <w:pgMar w:top="850" w:right="1191" w:bottom="850" w:left="850" w:header="851" w:footer="992" w:gutter="0"/>
          <w:cols w:space="720" w:num="1"/>
          <w:docGrid w:linePitch="380" w:charSpace="-5735"/>
        </w:sectPr>
      </w:pPr>
    </w:p>
    <w:p>
      <w:pPr>
        <w:spacing w:line="480" w:lineRule="exact"/>
        <w:ind w:right="480" w:firstLine="6480" w:firstLineChars="2700"/>
        <w:rPr>
          <w:rFonts w:ascii="宋体" w:hAnsi="宋体"/>
          <w:color w:val="000000"/>
          <w:sz w:val="24"/>
          <w:szCs w:val="24"/>
          <w:highlight w:val="none"/>
        </w:rPr>
      </w:pPr>
    </w:p>
    <w:p>
      <w:pPr>
        <w:pStyle w:val="6"/>
        <w:spacing w:before="0" w:after="0" w:line="480" w:lineRule="exact"/>
        <w:ind w:firstLine="470" w:firstLineChars="196"/>
        <w:rPr>
          <w:rFonts w:ascii="宋体" w:hAnsi="宋体"/>
          <w:b w:val="0"/>
          <w:color w:val="000000"/>
          <w:sz w:val="24"/>
          <w:szCs w:val="24"/>
          <w:highlight w:val="none"/>
        </w:rPr>
      </w:pPr>
      <w:bookmarkStart w:id="163" w:name="_Toc23724"/>
      <w:bookmarkStart w:id="164" w:name="_Toc433792170"/>
      <w:bookmarkStart w:id="165" w:name="_Toc342913420"/>
      <w:bookmarkStart w:id="166" w:name="_Toc313008357"/>
      <w:bookmarkStart w:id="167" w:name="_Toc313888361"/>
      <w:bookmarkStart w:id="168" w:name="_Toc28360"/>
      <w:r>
        <w:rPr>
          <w:rFonts w:hint="eastAsia" w:ascii="宋体" w:hAnsi="宋体"/>
          <w:b w:val="0"/>
          <w:color w:val="000000"/>
          <w:sz w:val="24"/>
          <w:szCs w:val="24"/>
          <w:highlight w:val="none"/>
        </w:rPr>
        <w:t>三、服务部分</w:t>
      </w:r>
      <w:bookmarkEnd w:id="163"/>
      <w:bookmarkEnd w:id="164"/>
      <w:bookmarkEnd w:id="165"/>
      <w:bookmarkEnd w:id="166"/>
      <w:bookmarkEnd w:id="167"/>
      <w:bookmarkEnd w:id="168"/>
    </w:p>
    <w:p>
      <w:pPr>
        <w:tabs>
          <w:tab w:val="left" w:pos="6300"/>
        </w:tabs>
        <w:snapToGrid w:val="0"/>
        <w:spacing w:line="480" w:lineRule="exact"/>
        <w:ind w:firstLine="570"/>
        <w:jc w:val="center"/>
        <w:rPr>
          <w:rFonts w:ascii="宋体" w:hAnsi="宋体"/>
          <w:color w:val="000000"/>
          <w:sz w:val="24"/>
          <w:szCs w:val="24"/>
          <w:highlight w:val="none"/>
        </w:rPr>
      </w:pPr>
      <w:r>
        <w:rPr>
          <w:rFonts w:hint="eastAsia" w:ascii="宋体" w:hAnsi="宋体"/>
          <w:color w:val="000000"/>
          <w:sz w:val="24"/>
          <w:szCs w:val="24"/>
          <w:highlight w:val="none"/>
        </w:rPr>
        <w:t>服务响应偏离表</w:t>
      </w:r>
    </w:p>
    <w:p>
      <w:pPr>
        <w:pStyle w:val="35"/>
        <w:tabs>
          <w:tab w:val="left" w:pos="6300"/>
        </w:tabs>
        <w:snapToGrid w:val="0"/>
        <w:spacing w:line="480" w:lineRule="exact"/>
        <w:ind w:firstLine="480" w:firstLineChars="200"/>
        <w:rPr>
          <w:rFonts w:ascii="宋体" w:hAnsi="宋体"/>
          <w:color w:val="000000"/>
          <w:sz w:val="24"/>
          <w:szCs w:val="24"/>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813"/>
        <w:gridCol w:w="97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7" w:type="dxa"/>
            <w:noWrap/>
            <w:vAlign w:val="center"/>
          </w:tcPr>
          <w:p>
            <w:pPr>
              <w:tabs>
                <w:tab w:val="left" w:pos="6300"/>
              </w:tabs>
              <w:snapToGrid w:val="0"/>
              <w:spacing w:line="500" w:lineRule="exact"/>
              <w:jc w:val="center"/>
              <w:outlineLvl w:val="0"/>
              <w:rPr>
                <w:rFonts w:ascii="宋体" w:hAnsi="宋体"/>
                <w:color w:val="000000"/>
                <w:sz w:val="21"/>
                <w:szCs w:val="21"/>
                <w:highlight w:val="none"/>
              </w:rPr>
            </w:pPr>
            <w:bookmarkStart w:id="169" w:name="_Toc17032"/>
            <w:bookmarkStart w:id="170" w:name="_Toc22735"/>
            <w:r>
              <w:rPr>
                <w:rFonts w:hint="eastAsia" w:ascii="宋体" w:hAnsi="宋体"/>
                <w:color w:val="000000"/>
                <w:sz w:val="21"/>
                <w:szCs w:val="21"/>
                <w:highlight w:val="none"/>
              </w:rPr>
              <w:t>序号</w:t>
            </w:r>
            <w:bookmarkEnd w:id="169"/>
            <w:bookmarkEnd w:id="170"/>
          </w:p>
        </w:tc>
        <w:tc>
          <w:tcPr>
            <w:tcW w:w="5813" w:type="dxa"/>
            <w:noWrap/>
            <w:vAlign w:val="center"/>
          </w:tcPr>
          <w:p>
            <w:pPr>
              <w:tabs>
                <w:tab w:val="left" w:pos="6300"/>
              </w:tabs>
              <w:snapToGrid w:val="0"/>
              <w:spacing w:line="500" w:lineRule="exact"/>
              <w:jc w:val="center"/>
              <w:outlineLvl w:val="0"/>
              <w:rPr>
                <w:rFonts w:ascii="宋体" w:hAnsi="宋体"/>
                <w:color w:val="000000"/>
                <w:sz w:val="21"/>
                <w:szCs w:val="21"/>
                <w:highlight w:val="none"/>
              </w:rPr>
            </w:pPr>
            <w:bookmarkStart w:id="171" w:name="_Toc26185"/>
            <w:bookmarkStart w:id="172" w:name="_Toc1526"/>
            <w:r>
              <w:rPr>
                <w:rFonts w:hint="eastAsia" w:ascii="宋体" w:hAnsi="宋体"/>
                <w:color w:val="000000"/>
                <w:sz w:val="21"/>
                <w:szCs w:val="21"/>
                <w:highlight w:val="none"/>
              </w:rPr>
              <w:t>服务需求</w:t>
            </w:r>
            <w:bookmarkEnd w:id="171"/>
            <w:bookmarkEnd w:id="172"/>
          </w:p>
        </w:tc>
        <w:tc>
          <w:tcPr>
            <w:tcW w:w="975" w:type="dxa"/>
            <w:noWrap/>
            <w:vAlign w:val="center"/>
          </w:tcPr>
          <w:p>
            <w:pPr>
              <w:tabs>
                <w:tab w:val="left" w:pos="6300"/>
              </w:tabs>
              <w:snapToGrid w:val="0"/>
              <w:spacing w:line="500" w:lineRule="exact"/>
              <w:jc w:val="center"/>
              <w:outlineLvl w:val="0"/>
              <w:rPr>
                <w:rFonts w:ascii="宋体" w:hAnsi="宋体"/>
                <w:color w:val="000000"/>
                <w:sz w:val="21"/>
                <w:szCs w:val="21"/>
                <w:highlight w:val="none"/>
              </w:rPr>
            </w:pPr>
            <w:bookmarkStart w:id="173" w:name="_Toc17802"/>
            <w:bookmarkStart w:id="174" w:name="_Toc25530"/>
            <w:r>
              <w:rPr>
                <w:rFonts w:hint="eastAsia" w:ascii="宋体" w:hAnsi="宋体"/>
                <w:color w:val="000000"/>
                <w:sz w:val="21"/>
                <w:szCs w:val="21"/>
                <w:highlight w:val="none"/>
              </w:rPr>
              <w:t>响应</w:t>
            </w:r>
            <w:bookmarkEnd w:id="173"/>
            <w:bookmarkEnd w:id="174"/>
          </w:p>
          <w:p>
            <w:pPr>
              <w:tabs>
                <w:tab w:val="left" w:pos="6300"/>
              </w:tabs>
              <w:snapToGrid w:val="0"/>
              <w:spacing w:line="500" w:lineRule="exact"/>
              <w:jc w:val="center"/>
              <w:outlineLvl w:val="0"/>
              <w:rPr>
                <w:rFonts w:ascii="宋体" w:hAnsi="宋体"/>
                <w:color w:val="000000"/>
                <w:sz w:val="21"/>
                <w:szCs w:val="21"/>
                <w:highlight w:val="none"/>
              </w:rPr>
            </w:pPr>
            <w:bookmarkStart w:id="175" w:name="_Toc9841"/>
            <w:bookmarkStart w:id="176" w:name="_Toc26099"/>
            <w:r>
              <w:rPr>
                <w:rFonts w:hint="eastAsia" w:ascii="宋体" w:hAnsi="宋体"/>
                <w:color w:val="000000"/>
                <w:sz w:val="21"/>
                <w:szCs w:val="21"/>
                <w:highlight w:val="none"/>
              </w:rPr>
              <w:t>情况</w:t>
            </w:r>
            <w:bookmarkEnd w:id="175"/>
            <w:bookmarkEnd w:id="176"/>
          </w:p>
        </w:tc>
        <w:tc>
          <w:tcPr>
            <w:tcW w:w="977" w:type="dxa"/>
            <w:noWrap/>
            <w:vAlign w:val="center"/>
          </w:tcPr>
          <w:p>
            <w:pPr>
              <w:tabs>
                <w:tab w:val="left" w:pos="6300"/>
              </w:tabs>
              <w:snapToGrid w:val="0"/>
              <w:spacing w:line="500" w:lineRule="exact"/>
              <w:jc w:val="center"/>
              <w:outlineLvl w:val="0"/>
              <w:rPr>
                <w:rFonts w:ascii="宋体" w:hAnsi="宋体"/>
                <w:color w:val="000000"/>
                <w:sz w:val="21"/>
                <w:szCs w:val="21"/>
                <w:highlight w:val="none"/>
              </w:rPr>
            </w:pPr>
            <w:bookmarkStart w:id="177" w:name="_Toc11563"/>
            <w:bookmarkStart w:id="178" w:name="_Toc27434"/>
            <w:r>
              <w:rPr>
                <w:rFonts w:hint="eastAsia" w:ascii="宋体" w:hAnsi="宋体"/>
                <w:color w:val="000000"/>
                <w:sz w:val="21"/>
                <w:szCs w:val="21"/>
                <w:highlight w:val="none"/>
              </w:rPr>
              <w:t>差异</w:t>
            </w:r>
            <w:bookmarkEnd w:id="177"/>
            <w:bookmarkEnd w:id="178"/>
          </w:p>
          <w:p>
            <w:pPr>
              <w:tabs>
                <w:tab w:val="left" w:pos="6300"/>
              </w:tabs>
              <w:snapToGrid w:val="0"/>
              <w:spacing w:line="500" w:lineRule="exact"/>
              <w:jc w:val="center"/>
              <w:outlineLvl w:val="0"/>
              <w:rPr>
                <w:rFonts w:ascii="宋体" w:hAnsi="宋体"/>
                <w:color w:val="000000"/>
                <w:sz w:val="21"/>
                <w:szCs w:val="21"/>
                <w:highlight w:val="none"/>
              </w:rPr>
            </w:pPr>
            <w:bookmarkStart w:id="179" w:name="_Toc27741"/>
            <w:bookmarkStart w:id="180" w:name="_Toc23697"/>
            <w:r>
              <w:rPr>
                <w:rFonts w:hint="eastAsia" w:ascii="宋体" w:hAnsi="宋体"/>
                <w:color w:val="000000"/>
                <w:sz w:val="21"/>
                <w:szCs w:val="21"/>
                <w:highlight w:val="none"/>
              </w:rPr>
              <w:t>说明</w:t>
            </w:r>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bookmarkStart w:id="181" w:name="_Toc1433"/>
            <w:r>
              <w:rPr>
                <w:rFonts w:hint="eastAsia" w:ascii="宋体" w:hAnsi="宋体"/>
                <w:color w:val="000000"/>
                <w:sz w:val="22"/>
                <w:szCs w:val="22"/>
                <w:highlight w:val="none"/>
              </w:rPr>
              <w:t>1</w:t>
            </w:r>
            <w:bookmarkEnd w:id="181"/>
          </w:p>
        </w:tc>
        <w:tc>
          <w:tcPr>
            <w:tcW w:w="5813" w:type="dxa"/>
            <w:noWrap/>
            <w:vAlign w:val="center"/>
          </w:tcPr>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lang w:val="en-US" w:eastAsia="zh-CN"/>
              </w:rPr>
              <w:t>一、</w:t>
            </w:r>
            <w:r>
              <w:rPr>
                <w:rFonts w:hint="eastAsia" w:ascii="宋体" w:hAnsi="宋体"/>
                <w:color w:val="000000"/>
                <w:sz w:val="22"/>
                <w:szCs w:val="22"/>
                <w:highlight w:val="none"/>
              </w:rPr>
              <w:t>项目概况</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按照2021“智博杯”中国（重庆）工业设计大赛整体流程，积极做好大赛相关工作，将进行产业化平台建设项目，按要求做好智博杯参赛作品产业化建设等工作。</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以智博杯参赛作品产业化为导向，建设全球化工业设计产业化及资源协同平台，瞄准作品曝光率低、供需信息不对称、孵化困难等痛点提供包含资源集聚、品牌赋能、项目孵化等服务的的工业设计全要素全产业链解决方案。</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p>
        </w:tc>
        <w:tc>
          <w:tcPr>
            <w:tcW w:w="975" w:type="dxa"/>
            <w:noWrap/>
            <w:vAlign w:val="center"/>
          </w:tcPr>
          <w:p>
            <w:pPr>
              <w:tabs>
                <w:tab w:val="left" w:pos="6300"/>
              </w:tabs>
              <w:snapToGrid w:val="0"/>
              <w:spacing w:line="500" w:lineRule="exact"/>
              <w:jc w:val="center"/>
              <w:outlineLvl w:val="0"/>
              <w:rPr>
                <w:rFonts w:ascii="宋体" w:hAnsi="宋体"/>
                <w:color w:val="000000"/>
                <w:sz w:val="21"/>
                <w:szCs w:val="21"/>
                <w:highlight w:val="none"/>
              </w:rPr>
            </w:pPr>
          </w:p>
        </w:tc>
        <w:tc>
          <w:tcPr>
            <w:tcW w:w="977" w:type="dxa"/>
            <w:noWrap/>
            <w:vAlign w:val="center"/>
          </w:tcPr>
          <w:p>
            <w:pPr>
              <w:tabs>
                <w:tab w:val="left" w:pos="6300"/>
              </w:tabs>
              <w:snapToGrid w:val="0"/>
              <w:spacing w:line="500" w:lineRule="exact"/>
              <w:jc w:val="center"/>
              <w:outlineLvl w:val="0"/>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bookmarkStart w:id="182" w:name="_Toc2510"/>
            <w:r>
              <w:rPr>
                <w:rFonts w:hint="eastAsia" w:ascii="宋体" w:hAnsi="宋体"/>
                <w:color w:val="000000"/>
                <w:sz w:val="22"/>
                <w:szCs w:val="22"/>
                <w:highlight w:val="none"/>
              </w:rPr>
              <w:t>2</w:t>
            </w:r>
            <w:bookmarkEnd w:id="182"/>
          </w:p>
        </w:tc>
        <w:tc>
          <w:tcPr>
            <w:tcW w:w="5813" w:type="dxa"/>
            <w:noWrap/>
            <w:vAlign w:val="center"/>
          </w:tcPr>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项目包含：</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（一）资源共享</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实现包含参赛者，上下游企业，作品服务商，高校等机构信息共享。实现产业资源多维度协同与交易，运用工业设计助推产业转型升级。</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（二）平台服务</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包含设计服务、创意服务、人才培养、品牌营销等全方位的解决方案，打造全链条设计产业集群，形成工业设计订单基地</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（三）产业孵化</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引导上下游企业及人才集聚，并建设行业基金、财务、法律、人才、咨询等功能，构建完整产业生态。</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p>
        </w:tc>
        <w:tc>
          <w:tcPr>
            <w:tcW w:w="975" w:type="dxa"/>
            <w:noWrap/>
            <w:vAlign w:val="center"/>
          </w:tcPr>
          <w:p>
            <w:pPr>
              <w:tabs>
                <w:tab w:val="left" w:pos="6300"/>
              </w:tabs>
              <w:snapToGrid w:val="0"/>
              <w:spacing w:line="500" w:lineRule="exact"/>
              <w:jc w:val="center"/>
              <w:outlineLvl w:val="0"/>
              <w:rPr>
                <w:rFonts w:ascii="宋体" w:hAnsi="宋体"/>
                <w:color w:val="000000"/>
                <w:sz w:val="21"/>
                <w:szCs w:val="21"/>
                <w:highlight w:val="none"/>
              </w:rPr>
            </w:pPr>
          </w:p>
        </w:tc>
        <w:tc>
          <w:tcPr>
            <w:tcW w:w="977" w:type="dxa"/>
            <w:noWrap/>
            <w:vAlign w:val="center"/>
          </w:tcPr>
          <w:p>
            <w:pPr>
              <w:tabs>
                <w:tab w:val="left" w:pos="6300"/>
              </w:tabs>
              <w:snapToGrid w:val="0"/>
              <w:spacing w:line="500" w:lineRule="exact"/>
              <w:jc w:val="center"/>
              <w:outlineLvl w:val="0"/>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3</w:t>
            </w:r>
          </w:p>
        </w:tc>
        <w:tc>
          <w:tcPr>
            <w:tcW w:w="5813" w:type="dxa"/>
            <w:noWrap/>
            <w:vAlign w:val="center"/>
          </w:tcPr>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★二、工作内容</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项目对接。根据采购方要求的建设时间及内容，了解该项目的实际情况，梳理项目功能点，明确建设方案交付时间。</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制定项目建设方案。竞选人需根据采购方要求，拟定总体建设方案，主要包括资源共享、平台服务、产业孵化等方面的方案稿件、方案说明，待与采购方对接确定后，最终交付方案定稿。</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（三）设计定稿。竞选人按照方案要求，对平台进行UI设计，设计包含PC端与移动端，设计完成后与采购方对接人进行确认，并最终交付设计方案定稿。</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（四）方案实施。竞选人根据确定的方案按照方案中约定的时间周期进行平台建设工作，并按时完成开发工作。</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（五）联合验收。竞选人在约定时间内完成平台建设并提交采购方进行验收工作，验收确认后完成正式上线。</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（六）平台运营及维护。运营时间内，竞选人应进行平台的基本运营及维护工作，保证平台业务流程正常。</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r>
              <w:rPr>
                <w:rFonts w:hint="eastAsia" w:ascii="宋体" w:hAnsi="宋体"/>
                <w:color w:val="000000"/>
                <w:sz w:val="22"/>
                <w:szCs w:val="22"/>
                <w:highlight w:val="none"/>
              </w:rPr>
              <w:t>（七）完成比选人交办的其他相关服务工作，其他相关事项在采购合同中进一步明确。</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000000"/>
                <w:sz w:val="22"/>
                <w:szCs w:val="22"/>
                <w:highlight w:val="none"/>
              </w:rPr>
            </w:pPr>
          </w:p>
        </w:tc>
        <w:tc>
          <w:tcPr>
            <w:tcW w:w="975" w:type="dxa"/>
            <w:noWrap/>
            <w:vAlign w:val="center"/>
          </w:tcPr>
          <w:p>
            <w:pPr>
              <w:tabs>
                <w:tab w:val="left" w:pos="6300"/>
              </w:tabs>
              <w:snapToGrid w:val="0"/>
              <w:spacing w:line="500" w:lineRule="exact"/>
              <w:jc w:val="center"/>
              <w:outlineLvl w:val="0"/>
              <w:rPr>
                <w:rFonts w:ascii="宋体" w:hAnsi="宋体"/>
                <w:color w:val="000000"/>
                <w:sz w:val="21"/>
                <w:szCs w:val="21"/>
                <w:highlight w:val="none"/>
              </w:rPr>
            </w:pPr>
          </w:p>
        </w:tc>
        <w:tc>
          <w:tcPr>
            <w:tcW w:w="977" w:type="dxa"/>
            <w:noWrap/>
            <w:vAlign w:val="center"/>
          </w:tcPr>
          <w:p>
            <w:pPr>
              <w:tabs>
                <w:tab w:val="left" w:pos="6300"/>
              </w:tabs>
              <w:snapToGrid w:val="0"/>
              <w:spacing w:line="500" w:lineRule="exact"/>
              <w:jc w:val="center"/>
              <w:outlineLvl w:val="0"/>
              <w:rPr>
                <w:rFonts w:ascii="宋体" w:hAnsi="宋体"/>
                <w:color w:val="000000"/>
                <w:sz w:val="21"/>
                <w:szCs w:val="21"/>
                <w:highlight w:val="none"/>
              </w:rPr>
            </w:pPr>
          </w:p>
        </w:tc>
      </w:tr>
    </w:tbl>
    <w:p>
      <w:pPr>
        <w:rPr>
          <w:color w:val="000000"/>
          <w:highlight w:val="none"/>
        </w:rPr>
      </w:pPr>
    </w:p>
    <w:p>
      <w:pPr>
        <w:spacing w:line="480" w:lineRule="exact"/>
        <w:ind w:firstLine="600" w:firstLineChars="250"/>
        <w:rPr>
          <w:rFonts w:ascii="宋体" w:hAnsi="宋体"/>
          <w:color w:val="000000"/>
          <w:sz w:val="24"/>
          <w:szCs w:val="24"/>
          <w:highlight w:val="none"/>
        </w:rPr>
      </w:pPr>
      <w:r>
        <w:rPr>
          <w:rFonts w:hint="eastAsia" w:ascii="宋体" w:hAnsi="宋体"/>
          <w:color w:val="000000"/>
          <w:sz w:val="24"/>
          <w:szCs w:val="24"/>
          <w:highlight w:val="none"/>
        </w:rPr>
        <w:t>竞选人：                                      法定代表人或其授权代表：</w:t>
      </w:r>
    </w:p>
    <w:p>
      <w:pPr>
        <w:spacing w:line="480" w:lineRule="exact"/>
        <w:rPr>
          <w:rFonts w:ascii="宋体" w:hAnsi="宋体"/>
          <w:color w:val="000000"/>
          <w:sz w:val="24"/>
          <w:szCs w:val="24"/>
          <w:highlight w:val="none"/>
        </w:rPr>
      </w:pPr>
    </w:p>
    <w:p>
      <w:pPr>
        <w:spacing w:line="480" w:lineRule="exact"/>
        <w:ind w:firstLine="720" w:firstLineChars="300"/>
        <w:rPr>
          <w:rFonts w:ascii="宋体" w:hAnsi="宋体"/>
          <w:color w:val="000000"/>
          <w:sz w:val="24"/>
          <w:szCs w:val="24"/>
          <w:highlight w:val="none"/>
        </w:rPr>
      </w:pPr>
      <w:r>
        <w:rPr>
          <w:rFonts w:hint="eastAsia" w:ascii="宋体" w:hAnsi="宋体"/>
          <w:color w:val="000000"/>
          <w:sz w:val="24"/>
          <w:szCs w:val="24"/>
          <w:highlight w:val="none"/>
        </w:rPr>
        <w:t>（竞选人公章）                               （签字或盖章）</w:t>
      </w:r>
    </w:p>
    <w:p>
      <w:pPr>
        <w:tabs>
          <w:tab w:val="left" w:pos="6300"/>
        </w:tabs>
        <w:snapToGrid w:val="0"/>
        <w:spacing w:line="480" w:lineRule="exact"/>
        <w:ind w:firstLine="570"/>
        <w:rPr>
          <w:rFonts w:ascii="宋体" w:hAnsi="宋体"/>
          <w:color w:val="000000"/>
          <w:sz w:val="24"/>
          <w:szCs w:val="24"/>
          <w:highlight w:val="none"/>
        </w:rPr>
      </w:pPr>
      <w:r>
        <w:rPr>
          <w:rFonts w:hint="eastAsia" w:ascii="宋体" w:hAnsi="宋体"/>
          <w:color w:val="000000"/>
          <w:sz w:val="24"/>
          <w:szCs w:val="24"/>
          <w:highlight w:val="none"/>
        </w:rPr>
        <w:t xml:space="preserve">                                            年     月     日</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注：</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1.本表即为对本项目“第二篇 项目服务需求”中所列服务要求进行比较和响应；完全响应的，请在“响应情况”一栏注明“完全响应”，在“差异说明”一栏填写“无差异”；如有优于采购需求条款的，则在“响应情况”详述，在“差异说明”注明“正偏离”；</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2.★标实质性要求不得以不满足采购需求的内容进行负偏离响应。</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3.该表可扩展；</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4.若具体参数复杂无法完全填入上表中，可后页附上相关参数内容。（格式自定）</w:t>
      </w:r>
    </w:p>
    <w:p>
      <w:pPr>
        <w:tabs>
          <w:tab w:val="left" w:pos="6300"/>
        </w:tabs>
        <w:snapToGrid w:val="0"/>
        <w:spacing w:line="480" w:lineRule="exact"/>
        <w:rPr>
          <w:rFonts w:ascii="宋体" w:hAnsi="宋体"/>
          <w:color w:val="000000"/>
          <w:sz w:val="21"/>
          <w:szCs w:val="21"/>
          <w:highlight w:val="none"/>
        </w:rPr>
      </w:pPr>
      <w:bookmarkStart w:id="183" w:name="_Toc313888362"/>
      <w:bookmarkStart w:id="184" w:name="_Toc313008358"/>
      <w:bookmarkStart w:id="185" w:name="_Toc342913421"/>
    </w:p>
    <w:p>
      <w:pPr>
        <w:tabs>
          <w:tab w:val="left" w:pos="6300"/>
        </w:tabs>
        <w:snapToGrid w:val="0"/>
        <w:spacing w:line="480" w:lineRule="exact"/>
        <w:ind w:firstLine="480" w:firstLineChars="200"/>
        <w:rPr>
          <w:rFonts w:ascii="宋体" w:hAnsi="宋体"/>
          <w:color w:val="000000"/>
          <w:sz w:val="24"/>
          <w:szCs w:val="24"/>
          <w:highlight w:val="none"/>
        </w:rPr>
        <w:sectPr>
          <w:headerReference r:id="rId11" w:type="default"/>
          <w:pgSz w:w="11907" w:h="16840"/>
          <w:pgMar w:top="850" w:right="850" w:bottom="850" w:left="850" w:header="851" w:footer="992" w:gutter="0"/>
          <w:cols w:space="720" w:num="1"/>
          <w:docGrid w:linePitch="380" w:charSpace="-5735"/>
        </w:sectPr>
      </w:pP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（二）服务评审需提供的材料（服务方案等，格式自定）</w:t>
      </w:r>
    </w:p>
    <w:p>
      <w:pPr>
        <w:tabs>
          <w:tab w:val="left" w:pos="6300"/>
        </w:tabs>
        <w:snapToGrid w:val="0"/>
        <w:spacing w:line="480" w:lineRule="exact"/>
        <w:ind w:firstLine="420" w:firstLineChars="200"/>
        <w:rPr>
          <w:rFonts w:ascii="宋体" w:hAnsi="宋体"/>
          <w:color w:val="000000"/>
          <w:sz w:val="21"/>
          <w:szCs w:val="21"/>
          <w:highlight w:val="none"/>
        </w:rPr>
      </w:pPr>
    </w:p>
    <w:p>
      <w:pPr>
        <w:tabs>
          <w:tab w:val="left" w:pos="6300"/>
        </w:tabs>
        <w:snapToGrid w:val="0"/>
        <w:spacing w:line="48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根据“第四篇”之“二、评审标准”中的“服务部分”评分内容拟定材料。</w:t>
      </w:r>
    </w:p>
    <w:p>
      <w:pPr>
        <w:tabs>
          <w:tab w:val="left" w:pos="6300"/>
        </w:tabs>
        <w:snapToGrid w:val="0"/>
        <w:spacing w:line="480" w:lineRule="exact"/>
        <w:ind w:firstLine="420" w:firstLineChars="200"/>
        <w:outlineLvl w:val="2"/>
        <w:rPr>
          <w:rFonts w:ascii="宋体" w:hAnsi="宋体"/>
          <w:color w:val="000000"/>
          <w:sz w:val="24"/>
          <w:szCs w:val="24"/>
          <w:highlight w:val="none"/>
        </w:rPr>
      </w:pPr>
      <w:r>
        <w:rPr>
          <w:rFonts w:ascii="宋体" w:hAnsi="宋体"/>
          <w:color w:val="000000"/>
          <w:sz w:val="21"/>
          <w:szCs w:val="21"/>
          <w:highlight w:val="none"/>
        </w:rPr>
        <w:br w:type="page"/>
      </w:r>
      <w:bookmarkStart w:id="186" w:name="_Toc433792171"/>
      <w:bookmarkStart w:id="187" w:name="_Toc22313"/>
      <w:r>
        <w:rPr>
          <w:rFonts w:hint="eastAsia" w:ascii="宋体" w:hAnsi="宋体"/>
          <w:color w:val="000000"/>
          <w:sz w:val="24"/>
          <w:szCs w:val="24"/>
          <w:highlight w:val="none"/>
        </w:rPr>
        <w:t>四、商务部分</w:t>
      </w:r>
      <w:bookmarkEnd w:id="183"/>
      <w:bookmarkEnd w:id="184"/>
      <w:bookmarkEnd w:id="185"/>
      <w:bookmarkEnd w:id="186"/>
      <w:bookmarkEnd w:id="187"/>
    </w:p>
    <w:p>
      <w:pPr>
        <w:spacing w:line="480" w:lineRule="exact"/>
        <w:ind w:firstLine="480" w:firstLineChars="200"/>
        <w:rPr>
          <w:rFonts w:ascii="宋体" w:hAnsi="宋体"/>
          <w:color w:val="000000"/>
          <w:sz w:val="24"/>
          <w:szCs w:val="24"/>
          <w:highlight w:val="none"/>
        </w:rPr>
      </w:pPr>
      <w:bookmarkStart w:id="188" w:name="_Toc283382459"/>
      <w:r>
        <w:rPr>
          <w:rFonts w:hint="eastAsia" w:ascii="宋体" w:hAnsi="宋体"/>
          <w:color w:val="000000"/>
          <w:sz w:val="24"/>
          <w:szCs w:val="24"/>
          <w:highlight w:val="none"/>
        </w:rPr>
        <w:t>（一）商务响应偏离表</w:t>
      </w:r>
    </w:p>
    <w:p>
      <w:pPr>
        <w:snapToGrid w:val="0"/>
        <w:spacing w:line="480" w:lineRule="exact"/>
        <w:jc w:val="center"/>
        <w:rPr>
          <w:rFonts w:ascii="宋体" w:hAnsi="宋体"/>
          <w:color w:val="000000"/>
          <w:sz w:val="24"/>
          <w:szCs w:val="24"/>
          <w:highlight w:val="none"/>
        </w:rPr>
      </w:pPr>
      <w:r>
        <w:rPr>
          <w:rFonts w:hint="eastAsia" w:ascii="宋体" w:hAnsi="宋体"/>
          <w:color w:val="000000"/>
          <w:sz w:val="24"/>
          <w:szCs w:val="24"/>
          <w:highlight w:val="none"/>
        </w:rPr>
        <w:t>商务响应偏离表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317"/>
        <w:gridCol w:w="1150"/>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9" w:type="dxa"/>
            <w:noWrap/>
            <w:vAlign w:val="center"/>
          </w:tcPr>
          <w:p>
            <w:pPr>
              <w:tabs>
                <w:tab w:val="left" w:pos="6300"/>
              </w:tabs>
              <w:snapToGrid w:val="0"/>
              <w:spacing w:line="480" w:lineRule="exact"/>
              <w:jc w:val="center"/>
              <w:outlineLvl w:val="0"/>
              <w:rPr>
                <w:rFonts w:ascii="宋体" w:hAnsi="宋体"/>
                <w:color w:val="000000"/>
                <w:sz w:val="21"/>
                <w:szCs w:val="21"/>
                <w:highlight w:val="none"/>
              </w:rPr>
            </w:pPr>
            <w:bookmarkStart w:id="189" w:name="_Toc22883"/>
            <w:bookmarkStart w:id="190" w:name="_Toc17706"/>
            <w:r>
              <w:rPr>
                <w:rFonts w:hint="eastAsia" w:ascii="宋体" w:hAnsi="宋体"/>
                <w:color w:val="000000"/>
                <w:sz w:val="21"/>
                <w:szCs w:val="21"/>
                <w:highlight w:val="none"/>
              </w:rPr>
              <w:t>序号</w:t>
            </w:r>
            <w:bookmarkEnd w:id="189"/>
            <w:bookmarkEnd w:id="190"/>
          </w:p>
        </w:tc>
        <w:tc>
          <w:tcPr>
            <w:tcW w:w="6317" w:type="dxa"/>
            <w:noWrap/>
            <w:vAlign w:val="center"/>
          </w:tcPr>
          <w:p>
            <w:pPr>
              <w:tabs>
                <w:tab w:val="left" w:pos="6300"/>
              </w:tabs>
              <w:snapToGrid w:val="0"/>
              <w:spacing w:line="480" w:lineRule="exact"/>
              <w:jc w:val="center"/>
              <w:outlineLvl w:val="0"/>
              <w:rPr>
                <w:rFonts w:ascii="宋体" w:hAnsi="宋体"/>
                <w:color w:val="000000"/>
                <w:sz w:val="21"/>
                <w:szCs w:val="21"/>
                <w:highlight w:val="none"/>
              </w:rPr>
            </w:pPr>
            <w:bookmarkStart w:id="191" w:name="_Toc27788"/>
            <w:bookmarkStart w:id="192" w:name="_Toc17211"/>
            <w:r>
              <w:rPr>
                <w:rFonts w:hint="eastAsia" w:ascii="宋体" w:hAnsi="宋体"/>
                <w:color w:val="000000"/>
                <w:sz w:val="21"/>
                <w:szCs w:val="21"/>
                <w:highlight w:val="none"/>
              </w:rPr>
              <w:t>比选项目需求</w:t>
            </w:r>
            <w:bookmarkEnd w:id="191"/>
            <w:bookmarkEnd w:id="192"/>
          </w:p>
        </w:tc>
        <w:tc>
          <w:tcPr>
            <w:tcW w:w="1150" w:type="dxa"/>
            <w:noWrap/>
            <w:vAlign w:val="center"/>
          </w:tcPr>
          <w:p>
            <w:pPr>
              <w:tabs>
                <w:tab w:val="left" w:pos="6300"/>
              </w:tabs>
              <w:snapToGrid w:val="0"/>
              <w:spacing w:line="480" w:lineRule="exact"/>
              <w:jc w:val="center"/>
              <w:outlineLvl w:val="0"/>
              <w:rPr>
                <w:rFonts w:ascii="宋体" w:hAnsi="宋体"/>
                <w:color w:val="000000"/>
                <w:sz w:val="21"/>
                <w:szCs w:val="21"/>
                <w:highlight w:val="none"/>
              </w:rPr>
            </w:pPr>
            <w:bookmarkStart w:id="193" w:name="_Toc31495"/>
            <w:bookmarkStart w:id="194" w:name="_Toc3198"/>
            <w:r>
              <w:rPr>
                <w:rFonts w:hint="eastAsia" w:ascii="宋体" w:hAnsi="宋体"/>
                <w:color w:val="000000"/>
                <w:sz w:val="21"/>
                <w:szCs w:val="21"/>
                <w:highlight w:val="none"/>
              </w:rPr>
              <w:t>响应</w:t>
            </w:r>
            <w:bookmarkEnd w:id="193"/>
            <w:bookmarkEnd w:id="194"/>
          </w:p>
          <w:p>
            <w:pPr>
              <w:tabs>
                <w:tab w:val="left" w:pos="6300"/>
              </w:tabs>
              <w:snapToGrid w:val="0"/>
              <w:spacing w:line="480" w:lineRule="exact"/>
              <w:jc w:val="center"/>
              <w:outlineLvl w:val="0"/>
              <w:rPr>
                <w:rFonts w:ascii="宋体" w:hAnsi="宋体"/>
                <w:color w:val="000000"/>
                <w:sz w:val="21"/>
                <w:szCs w:val="21"/>
                <w:highlight w:val="none"/>
              </w:rPr>
            </w:pPr>
            <w:bookmarkStart w:id="195" w:name="_Toc13029"/>
            <w:bookmarkStart w:id="196" w:name="_Toc21313"/>
            <w:r>
              <w:rPr>
                <w:rFonts w:hint="eastAsia" w:ascii="宋体" w:hAnsi="宋体"/>
                <w:color w:val="000000"/>
                <w:sz w:val="21"/>
                <w:szCs w:val="21"/>
                <w:highlight w:val="none"/>
              </w:rPr>
              <w:t>情况</w:t>
            </w:r>
            <w:bookmarkEnd w:id="195"/>
            <w:bookmarkEnd w:id="196"/>
          </w:p>
        </w:tc>
        <w:tc>
          <w:tcPr>
            <w:tcW w:w="908" w:type="dxa"/>
            <w:noWrap/>
            <w:vAlign w:val="center"/>
          </w:tcPr>
          <w:p>
            <w:pPr>
              <w:tabs>
                <w:tab w:val="left" w:pos="6300"/>
              </w:tabs>
              <w:snapToGrid w:val="0"/>
              <w:spacing w:line="480" w:lineRule="exact"/>
              <w:jc w:val="center"/>
              <w:outlineLvl w:val="0"/>
              <w:rPr>
                <w:rFonts w:ascii="宋体" w:hAnsi="宋体"/>
                <w:color w:val="000000"/>
                <w:sz w:val="21"/>
                <w:szCs w:val="21"/>
                <w:highlight w:val="none"/>
              </w:rPr>
            </w:pPr>
            <w:bookmarkStart w:id="197" w:name="_Toc28616"/>
            <w:bookmarkStart w:id="198" w:name="_Toc4227"/>
            <w:r>
              <w:rPr>
                <w:rFonts w:hint="eastAsia" w:ascii="宋体" w:hAnsi="宋体"/>
                <w:color w:val="000000"/>
                <w:sz w:val="21"/>
                <w:szCs w:val="21"/>
                <w:highlight w:val="none"/>
              </w:rPr>
              <w:t>差异</w:t>
            </w:r>
            <w:bookmarkEnd w:id="197"/>
            <w:bookmarkEnd w:id="198"/>
          </w:p>
          <w:p>
            <w:pPr>
              <w:tabs>
                <w:tab w:val="left" w:pos="6300"/>
              </w:tabs>
              <w:snapToGrid w:val="0"/>
              <w:spacing w:line="480" w:lineRule="exact"/>
              <w:jc w:val="center"/>
              <w:outlineLvl w:val="0"/>
              <w:rPr>
                <w:rFonts w:ascii="宋体" w:hAnsi="宋体"/>
                <w:color w:val="000000"/>
                <w:sz w:val="21"/>
                <w:szCs w:val="21"/>
                <w:highlight w:val="none"/>
              </w:rPr>
            </w:pPr>
            <w:bookmarkStart w:id="199" w:name="_Toc8280"/>
            <w:bookmarkStart w:id="200" w:name="_Toc30862"/>
            <w:r>
              <w:rPr>
                <w:rFonts w:hint="eastAsia" w:ascii="宋体" w:hAnsi="宋体"/>
                <w:color w:val="000000"/>
                <w:sz w:val="21"/>
                <w:szCs w:val="21"/>
                <w:highlight w:val="none"/>
              </w:rPr>
              <w:t>说明</w:t>
            </w:r>
            <w:bookmarkEnd w:id="199"/>
            <w:bookmarkEnd w:id="2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outlineLvl w:val="0"/>
              <w:rPr>
                <w:rFonts w:ascii="宋体" w:hAnsi="宋体"/>
                <w:color w:val="000000"/>
                <w:sz w:val="21"/>
                <w:szCs w:val="21"/>
                <w:highlight w:val="none"/>
              </w:rPr>
            </w:pPr>
            <w:bookmarkStart w:id="201" w:name="_Toc23281"/>
            <w:bookmarkStart w:id="202" w:name="_Toc9130"/>
            <w:r>
              <w:rPr>
                <w:rFonts w:hint="eastAsia" w:ascii="宋体" w:hAnsi="宋体"/>
                <w:color w:val="000000"/>
                <w:sz w:val="21"/>
                <w:szCs w:val="21"/>
                <w:highlight w:val="none"/>
              </w:rPr>
              <w:t>1</w:t>
            </w:r>
            <w:bookmarkEnd w:id="201"/>
            <w:bookmarkEnd w:id="202"/>
          </w:p>
        </w:tc>
        <w:tc>
          <w:tcPr>
            <w:tcW w:w="6317" w:type="dxa"/>
            <w:noWrap/>
            <w:vAlign w:val="center"/>
          </w:tcPr>
          <w:p>
            <w:pPr>
              <w:pStyle w:val="6"/>
              <w:spacing w:before="0" w:after="0" w:line="360" w:lineRule="auto"/>
              <w:rPr>
                <w:bCs/>
                <w:sz w:val="24"/>
                <w:szCs w:val="24"/>
                <w:highlight w:val="none"/>
                <w:lang w:val="zh-CN"/>
              </w:rPr>
            </w:pPr>
            <w:bookmarkStart w:id="203" w:name="_Toc28813"/>
            <w:r>
              <w:rPr>
                <w:rFonts w:hint="eastAsia"/>
                <w:sz w:val="24"/>
                <w:szCs w:val="24"/>
                <w:highlight w:val="none"/>
              </w:rPr>
              <w:t>★</w:t>
            </w:r>
            <w:r>
              <w:rPr>
                <w:rFonts w:hint="eastAsia"/>
                <w:bCs/>
                <w:sz w:val="24"/>
                <w:szCs w:val="24"/>
                <w:highlight w:val="none"/>
                <w:lang w:val="zh-CN"/>
              </w:rPr>
              <w:t>一、服务期、服务地点及验收方式</w:t>
            </w:r>
            <w:bookmarkEnd w:id="203"/>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（一）服务期限：</w:t>
            </w:r>
            <w:r>
              <w:rPr>
                <w:rFonts w:ascii="宋体" w:hAnsi="宋体"/>
                <w:color w:val="000000"/>
                <w:sz w:val="24"/>
                <w:szCs w:val="24"/>
                <w:highlight w:val="none"/>
              </w:rPr>
              <w:t>2022</w:t>
            </w:r>
            <w:r>
              <w:rPr>
                <w:rFonts w:hint="eastAsia" w:ascii="宋体" w:hAnsi="宋体"/>
                <w:color w:val="000000"/>
                <w:sz w:val="24"/>
                <w:szCs w:val="24"/>
                <w:highlight w:val="none"/>
              </w:rPr>
              <w:t>年1</w:t>
            </w:r>
            <w:r>
              <w:rPr>
                <w:rFonts w:ascii="宋体" w:hAnsi="宋体"/>
                <w:color w:val="000000"/>
                <w:sz w:val="24"/>
                <w:szCs w:val="24"/>
                <w:highlight w:val="none"/>
              </w:rPr>
              <w:t>0</w:t>
            </w:r>
            <w:r>
              <w:rPr>
                <w:rFonts w:hint="eastAsia" w:ascii="宋体" w:hAnsi="宋体"/>
                <w:color w:val="000000"/>
                <w:sz w:val="24"/>
                <w:szCs w:val="24"/>
                <w:highlight w:val="none"/>
              </w:rPr>
              <w:t>月3</w:t>
            </w:r>
            <w:r>
              <w:rPr>
                <w:rFonts w:ascii="宋体" w:hAnsi="宋体"/>
                <w:color w:val="000000"/>
                <w:sz w:val="24"/>
                <w:szCs w:val="24"/>
                <w:highlight w:val="none"/>
              </w:rPr>
              <w:t>1</w:t>
            </w:r>
            <w:r>
              <w:rPr>
                <w:rFonts w:hint="eastAsia" w:ascii="宋体" w:hAnsi="宋体"/>
                <w:color w:val="000000"/>
                <w:sz w:val="24"/>
                <w:szCs w:val="24"/>
                <w:highlight w:val="none"/>
              </w:rPr>
              <w:t>日前完成所有工作并通过验收。</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（二）服务地点：比选人指定或同意地点。</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（三）验收方式：</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1.验收组织单位：重庆市制造业人才服务中心。</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2.验收标准：中选单位完成所有工作后提请验收，比选人在7个工作日内按照国家及行业相关标准、竞争性比选文件规定对中选单位完成情况进行验收。如验收达不到相关规定要求的，中选单位应立即进行整改，整改后仍不合格的，则视为验收不合格，比选人有权立即终止合同。由此对比选人造成一定的损失，中选单位应承担一切责任，并赔偿所造成的损失。</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3.验收所产生的一切费用由中选单位承担。</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4.若有需要，中选单位应配合比选人完成项目审计。</w:t>
            </w:r>
          </w:p>
          <w:p>
            <w:pPr>
              <w:spacing w:line="360" w:lineRule="auto"/>
              <w:ind w:firstLine="360" w:firstLineChars="200"/>
              <w:rPr>
                <w:rFonts w:ascii="宋体" w:hAnsi="宋体"/>
                <w:color w:val="000000"/>
                <w:sz w:val="18"/>
                <w:szCs w:val="18"/>
                <w:highlight w:val="none"/>
              </w:rPr>
            </w:pPr>
          </w:p>
        </w:tc>
        <w:tc>
          <w:tcPr>
            <w:tcW w:w="1150" w:type="dxa"/>
            <w:noWrap/>
            <w:vAlign w:val="center"/>
          </w:tcPr>
          <w:p>
            <w:pPr>
              <w:tabs>
                <w:tab w:val="left" w:pos="6300"/>
              </w:tabs>
              <w:snapToGrid w:val="0"/>
              <w:spacing w:line="480" w:lineRule="exact"/>
              <w:jc w:val="center"/>
              <w:outlineLvl w:val="0"/>
              <w:rPr>
                <w:rFonts w:ascii="宋体" w:hAnsi="宋体"/>
                <w:color w:val="000000"/>
                <w:sz w:val="20"/>
                <w:highlight w:val="none"/>
              </w:rPr>
            </w:pPr>
          </w:p>
        </w:tc>
        <w:tc>
          <w:tcPr>
            <w:tcW w:w="908" w:type="dxa"/>
            <w:noWrap/>
            <w:vAlign w:val="center"/>
          </w:tcPr>
          <w:p>
            <w:pPr>
              <w:tabs>
                <w:tab w:val="left" w:pos="6300"/>
              </w:tabs>
              <w:snapToGrid w:val="0"/>
              <w:spacing w:line="480" w:lineRule="exact"/>
              <w:jc w:val="center"/>
              <w:outlineLvl w:val="0"/>
              <w:rPr>
                <w:rFonts w:ascii="宋体" w:hAnsi="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outlineLvl w:val="0"/>
              <w:rPr>
                <w:rFonts w:ascii="宋体" w:hAnsi="宋体"/>
                <w:color w:val="000000"/>
                <w:sz w:val="21"/>
                <w:szCs w:val="21"/>
                <w:highlight w:val="none"/>
              </w:rPr>
            </w:pPr>
            <w:bookmarkStart w:id="204" w:name="_Toc8521"/>
            <w:bookmarkStart w:id="205" w:name="_Toc30573"/>
            <w:r>
              <w:rPr>
                <w:rFonts w:hint="eastAsia" w:ascii="宋体" w:hAnsi="宋体"/>
                <w:color w:val="000000"/>
                <w:sz w:val="21"/>
                <w:szCs w:val="21"/>
                <w:highlight w:val="none"/>
              </w:rPr>
              <w:t>2</w:t>
            </w:r>
            <w:bookmarkEnd w:id="204"/>
            <w:bookmarkEnd w:id="205"/>
          </w:p>
        </w:tc>
        <w:tc>
          <w:tcPr>
            <w:tcW w:w="6317" w:type="dxa"/>
            <w:noWrap/>
            <w:vAlign w:val="center"/>
          </w:tcPr>
          <w:p>
            <w:pPr>
              <w:pStyle w:val="6"/>
              <w:spacing w:before="0" w:after="0" w:line="360" w:lineRule="auto"/>
              <w:rPr>
                <w:bCs/>
                <w:sz w:val="24"/>
                <w:szCs w:val="24"/>
                <w:highlight w:val="none"/>
                <w:lang w:val="zh-CN"/>
              </w:rPr>
            </w:pPr>
            <w:bookmarkStart w:id="206" w:name="_Toc20902"/>
            <w:r>
              <w:rPr>
                <w:rFonts w:hint="eastAsia"/>
                <w:sz w:val="24"/>
                <w:szCs w:val="24"/>
                <w:highlight w:val="none"/>
              </w:rPr>
              <w:t>★</w:t>
            </w:r>
            <w:r>
              <w:rPr>
                <w:rFonts w:hint="eastAsia"/>
                <w:bCs/>
                <w:sz w:val="24"/>
                <w:szCs w:val="24"/>
                <w:highlight w:val="none"/>
                <w:lang w:val="zh-CN"/>
              </w:rPr>
              <w:t>二、报价要求</w:t>
            </w:r>
            <w:bookmarkEnd w:id="206"/>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竞选人的报价应包括完成项目的全部费用。按照甲方项目服务需求，竞选人服务内容包括但不限于调研费用、咨询费用、软件开发服务费用、差旅费、培训费、质保费、运维费、管理费、利润、疫情防控费、税费、中选后支付给比选代理机构的代理服务费及其它与本项目相关的一切费用，比选人除此以外不支付其它费用。因竞选人自身原因造成漏报、少报皆由其自行承担责任，比选人不再补偿。</w:t>
            </w:r>
          </w:p>
          <w:p>
            <w:pPr>
              <w:spacing w:line="360" w:lineRule="auto"/>
              <w:ind w:firstLine="360" w:firstLineChars="200"/>
              <w:rPr>
                <w:rFonts w:ascii="宋体" w:hAnsi="宋体"/>
                <w:color w:val="000000"/>
                <w:sz w:val="18"/>
                <w:szCs w:val="18"/>
                <w:highlight w:val="none"/>
              </w:rPr>
            </w:pPr>
          </w:p>
        </w:tc>
        <w:tc>
          <w:tcPr>
            <w:tcW w:w="1150" w:type="dxa"/>
            <w:noWrap/>
            <w:vAlign w:val="center"/>
          </w:tcPr>
          <w:p>
            <w:pPr>
              <w:tabs>
                <w:tab w:val="left" w:pos="6300"/>
              </w:tabs>
              <w:snapToGrid w:val="0"/>
              <w:spacing w:line="480" w:lineRule="exact"/>
              <w:jc w:val="center"/>
              <w:outlineLvl w:val="0"/>
              <w:rPr>
                <w:rFonts w:ascii="宋体" w:hAnsi="宋体"/>
                <w:color w:val="000000"/>
                <w:sz w:val="20"/>
                <w:highlight w:val="none"/>
              </w:rPr>
            </w:pPr>
          </w:p>
        </w:tc>
        <w:tc>
          <w:tcPr>
            <w:tcW w:w="908" w:type="dxa"/>
            <w:noWrap/>
            <w:vAlign w:val="center"/>
          </w:tcPr>
          <w:p>
            <w:pPr>
              <w:tabs>
                <w:tab w:val="left" w:pos="6300"/>
              </w:tabs>
              <w:snapToGrid w:val="0"/>
              <w:spacing w:line="480" w:lineRule="exact"/>
              <w:jc w:val="center"/>
              <w:outlineLvl w:val="0"/>
              <w:rPr>
                <w:rFonts w:ascii="宋体" w:hAnsi="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outlineLvl w:val="0"/>
              <w:rPr>
                <w:rFonts w:ascii="宋体" w:hAnsi="宋体"/>
                <w:color w:val="000000"/>
                <w:sz w:val="21"/>
                <w:szCs w:val="21"/>
                <w:highlight w:val="none"/>
              </w:rPr>
            </w:pPr>
            <w:bookmarkStart w:id="207" w:name="_Toc19995"/>
            <w:bookmarkStart w:id="208" w:name="_Toc4124"/>
            <w:r>
              <w:rPr>
                <w:rFonts w:hint="eastAsia" w:ascii="宋体" w:hAnsi="宋体"/>
                <w:color w:val="000000"/>
                <w:sz w:val="21"/>
                <w:szCs w:val="21"/>
                <w:highlight w:val="none"/>
              </w:rPr>
              <w:t>3</w:t>
            </w:r>
            <w:bookmarkEnd w:id="207"/>
            <w:bookmarkEnd w:id="208"/>
          </w:p>
        </w:tc>
        <w:tc>
          <w:tcPr>
            <w:tcW w:w="6317" w:type="dxa"/>
            <w:noWrap/>
            <w:vAlign w:val="center"/>
          </w:tcPr>
          <w:p>
            <w:pPr>
              <w:spacing w:line="360" w:lineRule="auto"/>
              <w:ind w:firstLine="480" w:firstLineChars="200"/>
              <w:outlineLvl w:val="2"/>
              <w:rPr>
                <w:rFonts w:ascii="宋体" w:hAnsi="宋体"/>
                <w:sz w:val="24"/>
                <w:szCs w:val="24"/>
                <w:highlight w:val="none"/>
              </w:rPr>
            </w:pPr>
            <w:bookmarkStart w:id="209" w:name="_Toc24648"/>
            <w:r>
              <w:rPr>
                <w:rFonts w:hint="eastAsia"/>
                <w:sz w:val="24"/>
                <w:szCs w:val="24"/>
                <w:highlight w:val="none"/>
              </w:rPr>
              <w:t>★</w:t>
            </w:r>
            <w:r>
              <w:rPr>
                <w:rFonts w:hint="eastAsia" w:ascii="宋体" w:hAnsi="宋体"/>
                <w:color w:val="000000"/>
                <w:sz w:val="24"/>
                <w:szCs w:val="24"/>
                <w:highlight w:val="none"/>
              </w:rPr>
              <w:t>三、</w:t>
            </w:r>
            <w:r>
              <w:rPr>
                <w:rFonts w:hint="eastAsia" w:ascii="宋体" w:hAnsi="宋体"/>
                <w:sz w:val="24"/>
                <w:szCs w:val="24"/>
                <w:highlight w:val="none"/>
              </w:rPr>
              <w:t>付款方式</w:t>
            </w:r>
            <w:bookmarkEnd w:id="209"/>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中选单位同比选人签订合同后，完成所有工作内容、提交项目成果资料（包括但不限于设计方案、报价表、图片资料、影像资料等）并通过比选人验收，同时提交履约合同、足额发票、资金支付申请表等材料，比选人完成资金支付审批流程后5个工作日内向中选单位一次性支付所有合同金额。</w:t>
            </w:r>
          </w:p>
          <w:p>
            <w:pPr>
              <w:spacing w:line="360" w:lineRule="auto"/>
              <w:ind w:firstLine="360" w:firstLineChars="200"/>
              <w:rPr>
                <w:rFonts w:ascii="宋体" w:hAnsi="宋体"/>
                <w:color w:val="000000"/>
                <w:sz w:val="18"/>
                <w:szCs w:val="18"/>
                <w:highlight w:val="none"/>
              </w:rPr>
            </w:pPr>
          </w:p>
        </w:tc>
        <w:tc>
          <w:tcPr>
            <w:tcW w:w="1150" w:type="dxa"/>
            <w:noWrap/>
            <w:vAlign w:val="center"/>
          </w:tcPr>
          <w:p>
            <w:pPr>
              <w:tabs>
                <w:tab w:val="left" w:pos="6300"/>
              </w:tabs>
              <w:snapToGrid w:val="0"/>
              <w:spacing w:line="480" w:lineRule="exact"/>
              <w:jc w:val="center"/>
              <w:outlineLvl w:val="0"/>
              <w:rPr>
                <w:rFonts w:ascii="宋体" w:hAnsi="宋体"/>
                <w:color w:val="000000"/>
                <w:sz w:val="20"/>
                <w:highlight w:val="none"/>
              </w:rPr>
            </w:pPr>
          </w:p>
        </w:tc>
        <w:tc>
          <w:tcPr>
            <w:tcW w:w="908" w:type="dxa"/>
            <w:noWrap/>
            <w:vAlign w:val="center"/>
          </w:tcPr>
          <w:p>
            <w:pPr>
              <w:tabs>
                <w:tab w:val="left" w:pos="6300"/>
              </w:tabs>
              <w:snapToGrid w:val="0"/>
              <w:spacing w:line="480" w:lineRule="exact"/>
              <w:jc w:val="center"/>
              <w:outlineLvl w:val="0"/>
              <w:rPr>
                <w:rFonts w:ascii="宋体" w:hAnsi="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outlineLvl w:val="0"/>
              <w:rPr>
                <w:rFonts w:ascii="宋体" w:hAnsi="宋体"/>
                <w:color w:val="000000"/>
                <w:sz w:val="21"/>
                <w:szCs w:val="21"/>
                <w:highlight w:val="none"/>
              </w:rPr>
            </w:pPr>
            <w:bookmarkStart w:id="210" w:name="_Toc19308"/>
            <w:bookmarkStart w:id="211" w:name="_Toc13380"/>
            <w:r>
              <w:rPr>
                <w:rFonts w:hint="eastAsia" w:ascii="宋体" w:hAnsi="宋体"/>
                <w:color w:val="000000"/>
                <w:sz w:val="21"/>
                <w:szCs w:val="21"/>
                <w:highlight w:val="none"/>
              </w:rPr>
              <w:t>4</w:t>
            </w:r>
            <w:bookmarkEnd w:id="210"/>
            <w:bookmarkEnd w:id="211"/>
          </w:p>
        </w:tc>
        <w:tc>
          <w:tcPr>
            <w:tcW w:w="6317" w:type="dxa"/>
            <w:noWrap/>
            <w:vAlign w:val="center"/>
          </w:tcPr>
          <w:p>
            <w:pPr>
              <w:pStyle w:val="6"/>
              <w:spacing w:before="0" w:after="0" w:line="360" w:lineRule="auto"/>
              <w:rPr>
                <w:sz w:val="24"/>
                <w:szCs w:val="24"/>
                <w:highlight w:val="none"/>
              </w:rPr>
            </w:pPr>
            <w:bookmarkStart w:id="212" w:name="_Toc30017"/>
            <w:r>
              <w:rPr>
                <w:rFonts w:hint="eastAsia"/>
                <w:sz w:val="24"/>
                <w:szCs w:val="24"/>
                <w:highlight w:val="none"/>
              </w:rPr>
              <w:t>★四、违约条款</w:t>
            </w:r>
            <w:bookmarkEnd w:id="212"/>
          </w:p>
          <w:p>
            <w:pPr>
              <w:keepNext/>
              <w:keepLines/>
              <w:spacing w:line="360" w:lineRule="auto"/>
              <w:ind w:firstLine="480" w:firstLineChars="200"/>
              <w:rPr>
                <w:rFonts w:ascii="宋体" w:hAnsi="宋体"/>
                <w:sz w:val="24"/>
                <w:szCs w:val="24"/>
                <w:highlight w:val="none"/>
              </w:rPr>
            </w:pPr>
            <w:r>
              <w:rPr>
                <w:rFonts w:hint="eastAsia" w:ascii="宋体" w:hAnsi="宋体"/>
                <w:sz w:val="24"/>
                <w:szCs w:val="24"/>
                <w:highlight w:val="none"/>
              </w:rPr>
              <w:t>（一）若中选单位未在比选人要求的时间内完成本项目的，每延后1天中选单位应向比选人支付合同金额3%的违约金；延后时间超过10天的，比选人有权终止合同，不支付合同款并追究中选单位相关法律责任。</w:t>
            </w:r>
          </w:p>
          <w:p>
            <w:pPr>
              <w:keepNext/>
              <w:keepLines/>
              <w:spacing w:line="360" w:lineRule="auto"/>
              <w:ind w:firstLine="480" w:firstLineChars="200"/>
              <w:rPr>
                <w:rFonts w:ascii="宋体" w:hAnsi="宋体"/>
                <w:sz w:val="24"/>
                <w:szCs w:val="24"/>
                <w:highlight w:val="none"/>
              </w:rPr>
            </w:pPr>
            <w:r>
              <w:rPr>
                <w:rFonts w:hint="eastAsia" w:ascii="宋体" w:hAnsi="宋体"/>
                <w:sz w:val="24"/>
                <w:szCs w:val="24"/>
                <w:highlight w:val="none"/>
              </w:rPr>
              <w:t>（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p>
          <w:p>
            <w:pPr>
              <w:pStyle w:val="6"/>
              <w:spacing w:before="0" w:after="0" w:line="360" w:lineRule="auto"/>
              <w:ind w:firstLine="361" w:firstLineChars="200"/>
              <w:rPr>
                <w:rFonts w:ascii="宋体" w:hAnsi="宋体"/>
                <w:color w:val="000000"/>
                <w:sz w:val="18"/>
                <w:szCs w:val="18"/>
                <w:highlight w:val="none"/>
              </w:rPr>
            </w:pPr>
          </w:p>
        </w:tc>
        <w:tc>
          <w:tcPr>
            <w:tcW w:w="1150" w:type="dxa"/>
            <w:noWrap/>
            <w:vAlign w:val="center"/>
          </w:tcPr>
          <w:p>
            <w:pPr>
              <w:tabs>
                <w:tab w:val="left" w:pos="6300"/>
              </w:tabs>
              <w:snapToGrid w:val="0"/>
              <w:spacing w:line="480" w:lineRule="exact"/>
              <w:jc w:val="center"/>
              <w:outlineLvl w:val="0"/>
              <w:rPr>
                <w:rFonts w:ascii="宋体" w:hAnsi="宋体"/>
                <w:color w:val="000000"/>
                <w:sz w:val="20"/>
                <w:highlight w:val="none"/>
              </w:rPr>
            </w:pPr>
          </w:p>
        </w:tc>
        <w:tc>
          <w:tcPr>
            <w:tcW w:w="908" w:type="dxa"/>
            <w:noWrap/>
            <w:vAlign w:val="center"/>
          </w:tcPr>
          <w:p>
            <w:pPr>
              <w:tabs>
                <w:tab w:val="left" w:pos="6300"/>
              </w:tabs>
              <w:snapToGrid w:val="0"/>
              <w:spacing w:line="480" w:lineRule="exact"/>
              <w:jc w:val="center"/>
              <w:outlineLvl w:val="0"/>
              <w:rPr>
                <w:rFonts w:ascii="宋体" w:hAnsi="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outlineLvl w:val="0"/>
              <w:rPr>
                <w:rFonts w:ascii="宋体" w:hAnsi="宋体"/>
                <w:color w:val="000000"/>
                <w:sz w:val="21"/>
                <w:szCs w:val="21"/>
                <w:highlight w:val="none"/>
              </w:rPr>
            </w:pPr>
            <w:bookmarkStart w:id="213" w:name="_Toc10345"/>
            <w:bookmarkStart w:id="214" w:name="_Toc7209"/>
            <w:r>
              <w:rPr>
                <w:rFonts w:hint="eastAsia" w:ascii="宋体" w:hAnsi="宋体"/>
                <w:color w:val="000000"/>
                <w:sz w:val="21"/>
                <w:szCs w:val="21"/>
                <w:highlight w:val="none"/>
              </w:rPr>
              <w:t>5</w:t>
            </w:r>
            <w:bookmarkEnd w:id="213"/>
            <w:bookmarkEnd w:id="214"/>
          </w:p>
        </w:tc>
        <w:tc>
          <w:tcPr>
            <w:tcW w:w="6317" w:type="dxa"/>
            <w:noWrap/>
            <w:vAlign w:val="center"/>
          </w:tcPr>
          <w:p>
            <w:pPr>
              <w:pStyle w:val="6"/>
              <w:spacing w:before="0" w:after="0" w:line="360" w:lineRule="auto"/>
              <w:rPr>
                <w:sz w:val="24"/>
                <w:szCs w:val="24"/>
                <w:highlight w:val="none"/>
              </w:rPr>
            </w:pPr>
            <w:bookmarkStart w:id="215" w:name="_Toc18374"/>
            <w:r>
              <w:rPr>
                <w:rFonts w:hint="eastAsia"/>
                <w:sz w:val="24"/>
                <w:szCs w:val="24"/>
                <w:highlight w:val="none"/>
              </w:rPr>
              <w:t>★五、不可抗力</w:t>
            </w:r>
            <w:bookmarkEnd w:id="215"/>
          </w:p>
          <w:p>
            <w:pPr>
              <w:keepNext/>
              <w:keepLines/>
              <w:spacing w:line="360" w:lineRule="auto"/>
              <w:ind w:firstLine="480" w:firstLineChars="200"/>
              <w:rPr>
                <w:rFonts w:ascii="宋体" w:hAnsi="宋体"/>
                <w:sz w:val="24"/>
                <w:szCs w:val="24"/>
                <w:highlight w:val="none"/>
              </w:rPr>
            </w:pPr>
            <w:r>
              <w:rPr>
                <w:rFonts w:hint="eastAsia" w:ascii="宋体" w:hAnsi="宋体"/>
                <w:sz w:val="24"/>
                <w:szCs w:val="24"/>
                <w:highlight w:val="none"/>
              </w:rPr>
              <w:t>因新冠肺炎疫情、相关政策调整等不可抗力原因致使本项目取消的，或因客观原因致使合同无法订立或订立后因无法履行而解除的，比选人不承担任何责任</w:t>
            </w:r>
            <w:r>
              <w:rPr>
                <w:rFonts w:hint="eastAsia" w:ascii="宋体" w:hAnsi="宋体"/>
                <w:sz w:val="24"/>
                <w:szCs w:val="24"/>
                <w:highlight w:val="none"/>
                <w:lang w:eastAsia="zh-CN"/>
              </w:rPr>
              <w:t>。</w:t>
            </w:r>
            <w:r>
              <w:rPr>
                <w:rFonts w:hint="eastAsia" w:ascii="宋体" w:hAnsi="宋体"/>
                <w:sz w:val="24"/>
                <w:szCs w:val="24"/>
                <w:highlight w:val="none"/>
              </w:rPr>
              <w:t>（竞选人提供承诺函原件，详见“第七篇 竞选文件编制要求”所附格式文件。）</w:t>
            </w:r>
          </w:p>
          <w:p>
            <w:pPr>
              <w:tabs>
                <w:tab w:val="left" w:pos="6300"/>
              </w:tabs>
              <w:snapToGrid w:val="0"/>
              <w:spacing w:line="480" w:lineRule="exact"/>
              <w:jc w:val="center"/>
              <w:outlineLvl w:val="0"/>
              <w:rPr>
                <w:rFonts w:ascii="宋体" w:hAnsi="宋体"/>
                <w:color w:val="000000"/>
                <w:sz w:val="18"/>
                <w:szCs w:val="18"/>
                <w:highlight w:val="none"/>
              </w:rPr>
            </w:pPr>
          </w:p>
        </w:tc>
        <w:tc>
          <w:tcPr>
            <w:tcW w:w="1150" w:type="dxa"/>
            <w:noWrap/>
            <w:vAlign w:val="center"/>
          </w:tcPr>
          <w:p>
            <w:pPr>
              <w:tabs>
                <w:tab w:val="left" w:pos="6300"/>
              </w:tabs>
              <w:snapToGrid w:val="0"/>
              <w:spacing w:line="480" w:lineRule="exact"/>
              <w:jc w:val="center"/>
              <w:outlineLvl w:val="0"/>
              <w:rPr>
                <w:rFonts w:ascii="宋体" w:hAnsi="宋体"/>
                <w:color w:val="000000"/>
                <w:sz w:val="20"/>
                <w:highlight w:val="none"/>
              </w:rPr>
            </w:pPr>
          </w:p>
        </w:tc>
        <w:tc>
          <w:tcPr>
            <w:tcW w:w="908" w:type="dxa"/>
            <w:noWrap/>
            <w:vAlign w:val="center"/>
          </w:tcPr>
          <w:p>
            <w:pPr>
              <w:tabs>
                <w:tab w:val="left" w:pos="6300"/>
              </w:tabs>
              <w:snapToGrid w:val="0"/>
              <w:spacing w:line="480" w:lineRule="exact"/>
              <w:jc w:val="center"/>
              <w:outlineLvl w:val="0"/>
              <w:rPr>
                <w:rFonts w:ascii="宋体" w:hAnsi="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outlineLvl w:val="0"/>
              <w:rPr>
                <w:rFonts w:ascii="宋体" w:hAnsi="宋体"/>
                <w:color w:val="000000"/>
                <w:sz w:val="21"/>
                <w:szCs w:val="21"/>
                <w:highlight w:val="none"/>
              </w:rPr>
            </w:pPr>
            <w:bookmarkStart w:id="216" w:name="_Toc21922"/>
            <w:bookmarkStart w:id="217" w:name="_Toc2595"/>
            <w:r>
              <w:rPr>
                <w:rFonts w:hint="eastAsia" w:ascii="宋体" w:hAnsi="宋体"/>
                <w:color w:val="000000"/>
                <w:sz w:val="21"/>
                <w:szCs w:val="21"/>
                <w:highlight w:val="none"/>
              </w:rPr>
              <w:t>6</w:t>
            </w:r>
            <w:bookmarkEnd w:id="216"/>
            <w:bookmarkEnd w:id="217"/>
          </w:p>
        </w:tc>
        <w:tc>
          <w:tcPr>
            <w:tcW w:w="6317" w:type="dxa"/>
            <w:noWrap/>
            <w:vAlign w:val="center"/>
          </w:tcPr>
          <w:p>
            <w:pPr>
              <w:pStyle w:val="6"/>
              <w:spacing w:before="0" w:after="0" w:line="360" w:lineRule="auto"/>
              <w:rPr>
                <w:sz w:val="24"/>
                <w:szCs w:val="24"/>
                <w:highlight w:val="none"/>
              </w:rPr>
            </w:pPr>
            <w:bookmarkStart w:id="218" w:name="_Toc16606"/>
            <w:r>
              <w:rPr>
                <w:rFonts w:hint="eastAsia"/>
                <w:sz w:val="24"/>
                <w:szCs w:val="24"/>
                <w:highlight w:val="none"/>
              </w:rPr>
              <w:t>★六、知识产权</w:t>
            </w:r>
            <w:bookmarkEnd w:id="218"/>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(一)比选人在中华人民共和国境内使用中选人提供的货物或服务时免受第三方提出的侵犯其专利权或其它知识产权的起诉。如果第三方提出侵权指控，中选人应承担由此而引起的一切法律责任和费用。</w:t>
            </w:r>
          </w:p>
          <w:p>
            <w:pPr>
              <w:spacing w:line="360" w:lineRule="auto"/>
              <w:ind w:firstLine="427" w:firstLineChars="178"/>
              <w:rPr>
                <w:rFonts w:ascii="宋体" w:hAnsi="宋体"/>
                <w:sz w:val="24"/>
                <w:szCs w:val="24"/>
                <w:highlight w:val="none"/>
              </w:rPr>
            </w:pPr>
            <w:r>
              <w:rPr>
                <w:rFonts w:hint="eastAsia" w:ascii="宋体" w:hAnsi="宋体"/>
                <w:sz w:val="24"/>
                <w:szCs w:val="24"/>
                <w:highlight w:val="none"/>
              </w:rPr>
              <w:t>（二）本项目知识产权归比选人所有，中选单位需配合比选人对本项目知识产权进行保护。</w:t>
            </w:r>
          </w:p>
          <w:p>
            <w:pPr>
              <w:spacing w:line="360" w:lineRule="auto"/>
              <w:ind w:firstLine="320" w:firstLineChars="178"/>
              <w:rPr>
                <w:rFonts w:ascii="宋体" w:hAnsi="宋体"/>
                <w:color w:val="000000"/>
                <w:sz w:val="18"/>
                <w:szCs w:val="18"/>
                <w:highlight w:val="none"/>
              </w:rPr>
            </w:pPr>
          </w:p>
        </w:tc>
        <w:tc>
          <w:tcPr>
            <w:tcW w:w="1150" w:type="dxa"/>
            <w:noWrap/>
            <w:vAlign w:val="center"/>
          </w:tcPr>
          <w:p>
            <w:pPr>
              <w:tabs>
                <w:tab w:val="left" w:pos="6300"/>
              </w:tabs>
              <w:snapToGrid w:val="0"/>
              <w:spacing w:line="480" w:lineRule="exact"/>
              <w:jc w:val="center"/>
              <w:outlineLvl w:val="0"/>
              <w:rPr>
                <w:rFonts w:ascii="宋体" w:hAnsi="宋体"/>
                <w:color w:val="000000"/>
                <w:sz w:val="20"/>
                <w:highlight w:val="none"/>
              </w:rPr>
            </w:pPr>
          </w:p>
        </w:tc>
        <w:tc>
          <w:tcPr>
            <w:tcW w:w="908" w:type="dxa"/>
            <w:noWrap/>
            <w:vAlign w:val="center"/>
          </w:tcPr>
          <w:p>
            <w:pPr>
              <w:tabs>
                <w:tab w:val="left" w:pos="6300"/>
              </w:tabs>
              <w:snapToGrid w:val="0"/>
              <w:spacing w:line="480" w:lineRule="exact"/>
              <w:jc w:val="center"/>
              <w:outlineLvl w:val="0"/>
              <w:rPr>
                <w:rFonts w:ascii="宋体" w:hAnsi="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outlineLvl w:val="0"/>
              <w:rPr>
                <w:rFonts w:ascii="宋体" w:hAnsi="宋体"/>
                <w:color w:val="000000"/>
                <w:sz w:val="21"/>
                <w:szCs w:val="21"/>
                <w:highlight w:val="none"/>
              </w:rPr>
            </w:pPr>
            <w:bookmarkStart w:id="219" w:name="_Toc2254"/>
            <w:bookmarkStart w:id="220" w:name="_Toc31463"/>
            <w:r>
              <w:rPr>
                <w:rFonts w:hint="eastAsia" w:ascii="宋体" w:hAnsi="宋体"/>
                <w:color w:val="000000"/>
                <w:sz w:val="21"/>
                <w:szCs w:val="21"/>
                <w:highlight w:val="none"/>
              </w:rPr>
              <w:t>7</w:t>
            </w:r>
            <w:bookmarkEnd w:id="219"/>
            <w:bookmarkEnd w:id="220"/>
          </w:p>
        </w:tc>
        <w:tc>
          <w:tcPr>
            <w:tcW w:w="6317" w:type="dxa"/>
            <w:noWrap/>
            <w:vAlign w:val="center"/>
          </w:tcPr>
          <w:p>
            <w:pPr>
              <w:pStyle w:val="6"/>
              <w:spacing w:before="0" w:after="0" w:line="360" w:lineRule="auto"/>
              <w:rPr>
                <w:color w:val="000000"/>
                <w:sz w:val="24"/>
                <w:szCs w:val="24"/>
                <w:highlight w:val="none"/>
              </w:rPr>
            </w:pPr>
            <w:bookmarkStart w:id="221" w:name="_Toc27408"/>
            <w:r>
              <w:rPr>
                <w:rFonts w:hint="eastAsia" w:ascii="宋体" w:hAnsi="宋体"/>
                <w:color w:val="000000"/>
                <w:sz w:val="24"/>
                <w:szCs w:val="24"/>
                <w:highlight w:val="none"/>
              </w:rPr>
              <w:t>七、</w:t>
            </w:r>
            <w:r>
              <w:rPr>
                <w:rFonts w:hint="eastAsia"/>
                <w:color w:val="000000"/>
                <w:sz w:val="24"/>
                <w:szCs w:val="24"/>
                <w:highlight w:val="none"/>
              </w:rPr>
              <w:t>其他</w:t>
            </w:r>
            <w:bookmarkEnd w:id="221"/>
          </w:p>
          <w:p>
            <w:pPr>
              <w:snapToGrid w:val="0"/>
              <w:spacing w:line="360" w:lineRule="auto"/>
              <w:ind w:firstLine="480" w:firstLineChars="200"/>
              <w:rPr>
                <w:color w:val="000000"/>
                <w:sz w:val="24"/>
                <w:szCs w:val="24"/>
                <w:highlight w:val="none"/>
              </w:rPr>
            </w:pPr>
            <w:r>
              <w:rPr>
                <w:rFonts w:hint="eastAsia"/>
                <w:color w:val="000000"/>
                <w:sz w:val="24"/>
                <w:szCs w:val="24"/>
                <w:highlight w:val="none"/>
              </w:rPr>
              <w:t>（一）竞选人必须在竞选文件中对以上条款和服务承诺明确列出，承诺内容必须达到本篇及比选文件其他条款的要求。</w:t>
            </w:r>
          </w:p>
          <w:p>
            <w:pPr>
              <w:snapToGrid w:val="0"/>
              <w:spacing w:line="360" w:lineRule="auto"/>
              <w:ind w:firstLine="480" w:firstLineChars="200"/>
              <w:rPr>
                <w:color w:val="000000"/>
                <w:sz w:val="24"/>
                <w:szCs w:val="24"/>
                <w:highlight w:val="none"/>
              </w:rPr>
            </w:pPr>
            <w:r>
              <w:rPr>
                <w:rFonts w:hint="eastAsia"/>
                <w:color w:val="000000"/>
                <w:sz w:val="24"/>
                <w:szCs w:val="24"/>
                <w:highlight w:val="none"/>
              </w:rPr>
              <w:t>（二）其他未尽事宜由供需双方在采购合同中详细约定。</w:t>
            </w:r>
          </w:p>
          <w:p>
            <w:pPr>
              <w:snapToGrid w:val="0"/>
              <w:spacing w:line="360" w:lineRule="auto"/>
              <w:ind w:firstLine="400" w:firstLineChars="200"/>
              <w:rPr>
                <w:rFonts w:ascii="宋体" w:hAnsi="宋体"/>
                <w:color w:val="000000"/>
                <w:sz w:val="20"/>
                <w:highlight w:val="none"/>
              </w:rPr>
            </w:pPr>
          </w:p>
        </w:tc>
        <w:tc>
          <w:tcPr>
            <w:tcW w:w="1150" w:type="dxa"/>
            <w:noWrap/>
            <w:vAlign w:val="center"/>
          </w:tcPr>
          <w:p>
            <w:pPr>
              <w:tabs>
                <w:tab w:val="left" w:pos="6300"/>
              </w:tabs>
              <w:snapToGrid w:val="0"/>
              <w:spacing w:line="480" w:lineRule="exact"/>
              <w:jc w:val="center"/>
              <w:outlineLvl w:val="0"/>
              <w:rPr>
                <w:rFonts w:ascii="宋体" w:hAnsi="宋体"/>
                <w:color w:val="000000"/>
                <w:sz w:val="20"/>
                <w:highlight w:val="none"/>
              </w:rPr>
            </w:pPr>
          </w:p>
        </w:tc>
        <w:tc>
          <w:tcPr>
            <w:tcW w:w="908" w:type="dxa"/>
            <w:noWrap/>
            <w:vAlign w:val="center"/>
          </w:tcPr>
          <w:p>
            <w:pPr>
              <w:tabs>
                <w:tab w:val="left" w:pos="6300"/>
              </w:tabs>
              <w:snapToGrid w:val="0"/>
              <w:spacing w:line="480" w:lineRule="exact"/>
              <w:jc w:val="center"/>
              <w:outlineLvl w:val="0"/>
              <w:rPr>
                <w:rFonts w:ascii="宋体" w:hAnsi="宋体"/>
                <w:color w:val="000000"/>
                <w:sz w:val="20"/>
                <w:highlight w:val="none"/>
              </w:rPr>
            </w:pPr>
          </w:p>
        </w:tc>
      </w:tr>
    </w:tbl>
    <w:p>
      <w:pPr>
        <w:spacing w:line="480" w:lineRule="exact"/>
        <w:ind w:firstLine="600" w:firstLineChars="250"/>
        <w:rPr>
          <w:rFonts w:ascii="宋体" w:hAnsi="宋体"/>
          <w:color w:val="000000"/>
          <w:sz w:val="24"/>
          <w:szCs w:val="24"/>
          <w:highlight w:val="none"/>
        </w:rPr>
      </w:pPr>
      <w:r>
        <w:rPr>
          <w:rFonts w:hint="eastAsia" w:ascii="宋体" w:hAnsi="宋体"/>
          <w:color w:val="000000"/>
          <w:sz w:val="24"/>
          <w:szCs w:val="24"/>
          <w:highlight w:val="none"/>
        </w:rPr>
        <w:t>竞选人：                                  法定代表人或其授权代表：</w:t>
      </w:r>
    </w:p>
    <w:p>
      <w:pPr>
        <w:spacing w:line="480" w:lineRule="exact"/>
        <w:ind w:firstLine="360" w:firstLineChars="150"/>
        <w:rPr>
          <w:rFonts w:ascii="宋体" w:hAnsi="宋体"/>
          <w:color w:val="000000"/>
          <w:sz w:val="24"/>
          <w:szCs w:val="24"/>
          <w:highlight w:val="none"/>
        </w:rPr>
      </w:pPr>
      <w:r>
        <w:rPr>
          <w:rFonts w:hint="eastAsia" w:ascii="宋体" w:hAnsi="宋体"/>
          <w:color w:val="000000"/>
          <w:sz w:val="24"/>
          <w:szCs w:val="24"/>
          <w:highlight w:val="none"/>
        </w:rPr>
        <w:t>（竞选人公章）                                 （签字或盖章）</w:t>
      </w:r>
    </w:p>
    <w:p>
      <w:pPr>
        <w:tabs>
          <w:tab w:val="left" w:pos="6300"/>
        </w:tabs>
        <w:snapToGrid w:val="0"/>
        <w:spacing w:line="480" w:lineRule="exact"/>
        <w:ind w:firstLine="570"/>
        <w:rPr>
          <w:rFonts w:ascii="宋体" w:hAnsi="宋体"/>
          <w:color w:val="000000"/>
          <w:sz w:val="24"/>
          <w:szCs w:val="24"/>
          <w:highlight w:val="none"/>
        </w:rPr>
      </w:pPr>
      <w:r>
        <w:rPr>
          <w:rFonts w:hint="eastAsia" w:ascii="宋体" w:hAnsi="宋体"/>
          <w:color w:val="000000"/>
          <w:sz w:val="24"/>
          <w:szCs w:val="24"/>
          <w:highlight w:val="none"/>
        </w:rPr>
        <w:t xml:space="preserve">                                            年     月     日</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注：</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1.本表即为对本项目“第三篇 项目商务要求”中所列商务要求进行比较和响应；完全响应的，请在“响应情况”一栏注明“完全响应”，在“差异说明”一栏填写“无差异”；如有优于采购需求条款的，则在“响应情况”详述，在“差异说明”注明“正偏离”；本项目不得以不满足采购需求的内容进行负偏离响应；</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2.★标实质性要求不得以不满足采购需求的内容进行负偏离响应。</w:t>
      </w:r>
    </w:p>
    <w:p>
      <w:p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3.该表可扩展。</w:t>
      </w:r>
    </w:p>
    <w:p>
      <w:pPr>
        <w:spacing w:line="480" w:lineRule="exact"/>
        <w:ind w:firstLine="480" w:firstLineChars="200"/>
        <w:rPr>
          <w:rFonts w:ascii="宋体" w:hAnsi="宋体"/>
          <w:color w:val="000000"/>
          <w:sz w:val="24"/>
          <w:szCs w:val="24"/>
          <w:highlight w:val="none"/>
        </w:rPr>
      </w:pPr>
      <w:r>
        <w:rPr>
          <w:rFonts w:ascii="宋体" w:hAnsi="宋体"/>
          <w:color w:val="000000"/>
          <w:sz w:val="24"/>
          <w:szCs w:val="24"/>
          <w:highlight w:val="none"/>
        </w:rPr>
        <w:br w:type="page"/>
      </w:r>
      <w:r>
        <w:rPr>
          <w:rFonts w:hint="eastAsia" w:ascii="宋体" w:hAnsi="宋体"/>
          <w:color w:val="000000"/>
          <w:sz w:val="24"/>
          <w:szCs w:val="24"/>
          <w:highlight w:val="none"/>
        </w:rPr>
        <w:t>（二）商务评审需提供的材料（格式自定）</w:t>
      </w:r>
    </w:p>
    <w:p>
      <w:pPr>
        <w:tabs>
          <w:tab w:val="left" w:pos="6300"/>
        </w:tabs>
        <w:snapToGrid w:val="0"/>
        <w:spacing w:line="480" w:lineRule="exact"/>
        <w:ind w:firstLine="420" w:firstLineChars="200"/>
        <w:rPr>
          <w:rFonts w:ascii="宋体" w:hAnsi="宋体"/>
          <w:color w:val="000000"/>
          <w:sz w:val="21"/>
          <w:szCs w:val="21"/>
          <w:highlight w:val="none"/>
        </w:rPr>
      </w:pPr>
    </w:p>
    <w:p>
      <w:pPr>
        <w:tabs>
          <w:tab w:val="left" w:pos="6300"/>
        </w:tabs>
        <w:snapToGrid w:val="0"/>
        <w:spacing w:line="48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根据“第四篇”之“二、评审标准”中的“商务部分”评分内容拟定材料。</w:t>
      </w:r>
    </w:p>
    <w:p>
      <w:pPr>
        <w:spacing w:line="480" w:lineRule="exact"/>
        <w:ind w:firstLine="480" w:firstLineChars="200"/>
        <w:rPr>
          <w:rFonts w:ascii="宋体" w:hAnsi="宋体"/>
          <w:color w:val="000000"/>
          <w:sz w:val="24"/>
          <w:szCs w:val="24"/>
          <w:highlight w:val="none"/>
        </w:rPr>
        <w:sectPr>
          <w:pgSz w:w="11907" w:h="16840"/>
          <w:pgMar w:top="850" w:right="850" w:bottom="850" w:left="850" w:header="851" w:footer="992" w:gutter="0"/>
          <w:cols w:space="720" w:num="1"/>
          <w:docGrid w:linePitch="380" w:charSpace="-5735"/>
        </w:sectPr>
      </w:pPr>
    </w:p>
    <w:p>
      <w:pPr>
        <w:numPr>
          <w:ilvl w:val="0"/>
          <w:numId w:val="4"/>
        </w:numPr>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不可抗力承诺函（格式）</w:t>
      </w:r>
    </w:p>
    <w:p>
      <w:pPr>
        <w:pStyle w:val="2"/>
        <w:rPr>
          <w:highlight w:val="none"/>
        </w:rPr>
      </w:pPr>
    </w:p>
    <w:p>
      <w:pPr>
        <w:rPr>
          <w:highlight w:val="none"/>
        </w:rPr>
      </w:pPr>
    </w:p>
    <w:p>
      <w:pPr>
        <w:pStyle w:val="2"/>
        <w:rPr>
          <w:rFonts w:ascii="宋体" w:hAnsi="宋体" w:eastAsia="宋体"/>
          <w:color w:val="000000"/>
          <w:sz w:val="24"/>
          <w:szCs w:val="24"/>
          <w:highlight w:val="none"/>
          <w:u w:val="single"/>
        </w:rPr>
      </w:pPr>
      <w:r>
        <w:rPr>
          <w:rFonts w:hint="eastAsia" w:ascii="宋体" w:hAnsi="宋体" w:eastAsia="宋体"/>
          <w:color w:val="000000"/>
          <w:sz w:val="24"/>
          <w:szCs w:val="24"/>
          <w:highlight w:val="none"/>
        </w:rPr>
        <w:t>致：</w:t>
      </w:r>
      <w:r>
        <w:rPr>
          <w:rFonts w:hint="eastAsia" w:ascii="宋体" w:hAnsi="宋体" w:eastAsia="宋体"/>
          <w:color w:val="000000"/>
          <w:sz w:val="24"/>
          <w:szCs w:val="24"/>
          <w:highlight w:val="none"/>
          <w:u w:val="single"/>
        </w:rPr>
        <w:t xml:space="preserve">              （比选人名称）</w:t>
      </w:r>
    </w:p>
    <w:p>
      <w:pPr>
        <w:rPr>
          <w:highlight w:val="none"/>
          <w:u w:val="single"/>
        </w:rPr>
      </w:pPr>
    </w:p>
    <w:p>
      <w:pPr>
        <w:pStyle w:val="2"/>
        <w:rPr>
          <w:highlight w:val="none"/>
          <w:u w:val="single"/>
        </w:rPr>
      </w:pPr>
    </w:p>
    <w:p>
      <w:pPr>
        <w:ind w:firstLine="560" w:firstLineChars="200"/>
        <w:rPr>
          <w:highlight w:val="none"/>
        </w:rPr>
      </w:pPr>
      <w:r>
        <w:rPr>
          <w:rFonts w:hint="eastAsia"/>
          <w:highlight w:val="none"/>
        </w:rPr>
        <w:t>我公司（单位）就本项目承诺，若因新冠肺炎疫情、相关政策调整等不可抗力原因致使本项目取消的，或因客观原因致使合同无法订立或订立后因无法履行而解除的，比选人不承担任何责任。</w:t>
      </w:r>
    </w:p>
    <w:p>
      <w:pPr>
        <w:pStyle w:val="2"/>
        <w:rPr>
          <w:highlight w:val="none"/>
        </w:rPr>
      </w:pPr>
    </w:p>
    <w:p>
      <w:pPr>
        <w:rPr>
          <w:highlight w:val="none"/>
        </w:rPr>
      </w:pPr>
    </w:p>
    <w:p>
      <w:pPr>
        <w:pStyle w:val="2"/>
        <w:rPr>
          <w:highlight w:val="none"/>
        </w:rPr>
      </w:pPr>
    </w:p>
    <w:p>
      <w:pPr>
        <w:rPr>
          <w:highlight w:val="none"/>
        </w:rPr>
      </w:pPr>
    </w:p>
    <w:p>
      <w:pPr>
        <w:pStyle w:val="2"/>
        <w:wordWrap w:val="0"/>
        <w:jc w:val="right"/>
        <w:rPr>
          <w:rFonts w:ascii="Times New Roman" w:eastAsia="宋体"/>
          <w:sz w:val="28"/>
          <w:highlight w:val="none"/>
          <w:u w:val="single"/>
        </w:rPr>
      </w:pPr>
      <w:r>
        <w:rPr>
          <w:rFonts w:hint="eastAsia" w:ascii="Times New Roman" w:eastAsia="宋体"/>
          <w:sz w:val="28"/>
          <w:highlight w:val="none"/>
        </w:rPr>
        <w:t>竞选人名称（公章）</w:t>
      </w:r>
      <w:r>
        <w:rPr>
          <w:rFonts w:hint="eastAsia" w:ascii="Times New Roman" w:eastAsia="宋体"/>
          <w:sz w:val="28"/>
          <w:highlight w:val="none"/>
          <w:u w:val="single"/>
        </w:rPr>
        <w:t xml:space="preserve">              </w:t>
      </w:r>
    </w:p>
    <w:p>
      <w:pPr>
        <w:jc w:val="right"/>
        <w:rPr>
          <w:highlight w:val="none"/>
        </w:rPr>
      </w:pPr>
    </w:p>
    <w:p>
      <w:pPr>
        <w:pStyle w:val="2"/>
        <w:jc w:val="right"/>
        <w:rPr>
          <w:rFonts w:ascii="Times New Roman" w:eastAsia="宋体"/>
          <w:sz w:val="28"/>
          <w:highlight w:val="none"/>
        </w:rPr>
        <w:sectPr>
          <w:pgSz w:w="11907" w:h="16840"/>
          <w:pgMar w:top="850" w:right="850" w:bottom="850" w:left="850" w:header="851" w:footer="992" w:gutter="0"/>
          <w:cols w:space="720" w:num="1"/>
          <w:docGrid w:linePitch="380" w:charSpace="-5735"/>
        </w:sectPr>
      </w:pPr>
      <w:r>
        <w:rPr>
          <w:rFonts w:hint="eastAsia" w:ascii="Times New Roman" w:eastAsia="宋体"/>
          <w:sz w:val="28"/>
          <w:highlight w:val="none"/>
        </w:rPr>
        <w:t>年  月   日</w:t>
      </w:r>
    </w:p>
    <w:p>
      <w:pPr>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（四）其它优惠承诺（如有，格式自定。）</w:t>
      </w:r>
    </w:p>
    <w:p>
      <w:pPr>
        <w:spacing w:line="480" w:lineRule="exact"/>
        <w:ind w:firstLine="480" w:firstLineChars="200"/>
        <w:rPr>
          <w:rFonts w:ascii="宋体" w:hAnsi="宋体"/>
          <w:color w:val="000000"/>
          <w:sz w:val="24"/>
          <w:szCs w:val="24"/>
          <w:highlight w:val="none"/>
        </w:rPr>
      </w:pPr>
    </w:p>
    <w:p>
      <w:pPr>
        <w:pStyle w:val="6"/>
        <w:spacing w:before="0" w:after="0" w:line="480" w:lineRule="exact"/>
        <w:rPr>
          <w:rFonts w:ascii="宋体" w:hAnsi="宋体"/>
          <w:b w:val="0"/>
          <w:color w:val="000000"/>
          <w:sz w:val="24"/>
          <w:szCs w:val="24"/>
          <w:highlight w:val="none"/>
        </w:rPr>
      </w:pPr>
      <w:r>
        <w:rPr>
          <w:rFonts w:ascii="宋体" w:hAnsi="宋体"/>
          <w:b w:val="0"/>
          <w:color w:val="000000"/>
          <w:sz w:val="24"/>
          <w:szCs w:val="24"/>
          <w:highlight w:val="none"/>
        </w:rPr>
        <w:br w:type="page"/>
      </w:r>
      <w:bookmarkEnd w:id="188"/>
      <w:bookmarkStart w:id="222" w:name="_Toc24621"/>
      <w:bookmarkStart w:id="223" w:name="_Toc313008359"/>
      <w:bookmarkStart w:id="224" w:name="_Toc433792172"/>
      <w:bookmarkStart w:id="225" w:name="_Toc313888363"/>
      <w:bookmarkStart w:id="226" w:name="_Toc342913422"/>
      <w:bookmarkStart w:id="227" w:name="_Toc21754"/>
      <w:r>
        <w:rPr>
          <w:rFonts w:hint="eastAsia" w:ascii="宋体" w:hAnsi="宋体"/>
          <w:b w:val="0"/>
          <w:color w:val="000000"/>
          <w:sz w:val="24"/>
          <w:szCs w:val="24"/>
          <w:highlight w:val="none"/>
        </w:rPr>
        <w:t>五、资格条件及其他</w:t>
      </w:r>
      <w:bookmarkEnd w:id="222"/>
      <w:bookmarkEnd w:id="223"/>
      <w:bookmarkEnd w:id="224"/>
      <w:bookmarkEnd w:id="225"/>
      <w:bookmarkEnd w:id="226"/>
      <w:bookmarkEnd w:id="227"/>
    </w:p>
    <w:p>
      <w:pPr>
        <w:rPr>
          <w:color w:val="000000"/>
          <w:sz w:val="24"/>
          <w:szCs w:val="24"/>
          <w:highlight w:val="none"/>
        </w:rPr>
      </w:pPr>
    </w:p>
    <w:p>
      <w:pPr>
        <w:numPr>
          <w:ilvl w:val="0"/>
          <w:numId w:val="5"/>
        </w:numPr>
        <w:tabs>
          <w:tab w:val="left" w:pos="6300"/>
        </w:tabs>
        <w:snapToGrid w:val="0"/>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资格条件</w:t>
      </w:r>
    </w:p>
    <w:p>
      <w:pPr>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 xml:space="preserve">  1．具有独立承担民事责任的能力；</w:t>
      </w:r>
    </w:p>
    <w:p>
      <w:pPr>
        <w:tabs>
          <w:tab w:val="left" w:pos="6300"/>
        </w:tabs>
        <w:snapToGrid w:val="0"/>
        <w:spacing w:line="500" w:lineRule="exact"/>
        <w:ind w:firstLine="480" w:firstLineChars="200"/>
        <w:rPr>
          <w:color w:val="000000"/>
          <w:sz w:val="24"/>
          <w:szCs w:val="24"/>
          <w:highlight w:val="none"/>
        </w:rPr>
      </w:pPr>
      <w:r>
        <w:rPr>
          <w:rFonts w:hint="eastAsia" w:ascii="宋体" w:hAnsi="宋体"/>
          <w:color w:val="000000"/>
          <w:sz w:val="24"/>
          <w:szCs w:val="24"/>
          <w:highlight w:val="none"/>
        </w:rPr>
        <w:t>提供营业执照复印件、组织机构代码证复印件、税务登记证副本复印件。竞选人按“多证合一”登记制度办理营业执照的，组织机构代码证和税务登记证（副本）以竞选人所提供的营业执照（副本）复印件为准。</w:t>
      </w:r>
    </w:p>
    <w:p>
      <w:pPr>
        <w:tabs>
          <w:tab w:val="left" w:pos="6300"/>
        </w:tabs>
        <w:snapToGrid w:val="0"/>
        <w:spacing w:line="560" w:lineRule="exact"/>
        <w:ind w:firstLine="630" w:firstLineChars="300"/>
        <w:rPr>
          <w:rFonts w:ascii="宋体" w:hAnsi="宋体"/>
          <w:color w:val="000000"/>
          <w:sz w:val="24"/>
          <w:szCs w:val="24"/>
          <w:highlight w:val="none"/>
        </w:rPr>
      </w:pPr>
      <w:r>
        <w:rPr>
          <w:rFonts w:ascii="宋体" w:hAnsi="宋体"/>
          <w:color w:val="000000"/>
          <w:sz w:val="21"/>
          <w:szCs w:val="21"/>
          <w:highlight w:val="none"/>
        </w:rPr>
        <w:br w:type="page"/>
      </w:r>
      <w:r>
        <w:rPr>
          <w:rFonts w:hint="eastAsia" w:ascii="宋体" w:hAnsi="宋体"/>
          <w:color w:val="000000"/>
          <w:sz w:val="24"/>
          <w:szCs w:val="24"/>
          <w:highlight w:val="none"/>
        </w:rPr>
        <w:t>2</w:t>
      </w:r>
      <w:r>
        <w:rPr>
          <w:rFonts w:ascii="宋体" w:hAnsi="宋体"/>
          <w:color w:val="000000"/>
          <w:sz w:val="24"/>
          <w:szCs w:val="24"/>
          <w:highlight w:val="none"/>
        </w:rPr>
        <w:t>.</w:t>
      </w:r>
      <w:r>
        <w:rPr>
          <w:rFonts w:hint="eastAsia" w:ascii="宋体" w:hAnsi="宋体"/>
          <w:color w:val="000000"/>
          <w:sz w:val="24"/>
          <w:szCs w:val="24"/>
          <w:highlight w:val="none"/>
        </w:rPr>
        <w:t>法定代表人身份证明书（格式）</w:t>
      </w:r>
    </w:p>
    <w:p>
      <w:pPr>
        <w:tabs>
          <w:tab w:val="left" w:pos="6300"/>
        </w:tabs>
        <w:snapToGrid w:val="0"/>
        <w:spacing w:line="480" w:lineRule="exact"/>
        <w:jc w:val="center"/>
        <w:outlineLvl w:val="0"/>
        <w:rPr>
          <w:rFonts w:ascii="宋体" w:hAnsi="宋体"/>
          <w:color w:val="000000"/>
          <w:sz w:val="24"/>
          <w:szCs w:val="24"/>
          <w:highlight w:val="none"/>
        </w:rPr>
      </w:pPr>
    </w:p>
    <w:p>
      <w:pPr>
        <w:tabs>
          <w:tab w:val="left" w:pos="6300"/>
        </w:tabs>
        <w:snapToGrid w:val="0"/>
        <w:spacing w:line="480" w:lineRule="exact"/>
        <w:ind w:firstLine="570"/>
        <w:rPr>
          <w:rFonts w:ascii="宋体" w:hAnsi="宋体"/>
          <w:color w:val="000000"/>
          <w:sz w:val="24"/>
          <w:szCs w:val="24"/>
          <w:highlight w:val="none"/>
          <w:u w:val="single"/>
        </w:rPr>
      </w:pPr>
      <w:r>
        <w:rPr>
          <w:rFonts w:hint="eastAsia" w:ascii="宋体" w:hAnsi="宋体"/>
          <w:color w:val="000000"/>
          <w:sz w:val="24"/>
          <w:szCs w:val="24"/>
          <w:highlight w:val="none"/>
        </w:rPr>
        <w:t>项目名称：________________</w:t>
      </w:r>
    </w:p>
    <w:p>
      <w:pPr>
        <w:tabs>
          <w:tab w:val="left" w:pos="6300"/>
        </w:tabs>
        <w:snapToGrid w:val="0"/>
        <w:spacing w:line="480" w:lineRule="exact"/>
        <w:ind w:firstLine="570"/>
        <w:rPr>
          <w:rFonts w:ascii="宋体" w:hAnsi="宋体"/>
          <w:color w:val="000000"/>
          <w:sz w:val="24"/>
          <w:szCs w:val="24"/>
          <w:highlight w:val="none"/>
        </w:rPr>
      </w:pPr>
    </w:p>
    <w:p>
      <w:pPr>
        <w:tabs>
          <w:tab w:val="left" w:pos="6300"/>
        </w:tabs>
        <w:snapToGrid w:val="0"/>
        <w:spacing w:line="480" w:lineRule="exact"/>
        <w:ind w:firstLine="570"/>
        <w:rPr>
          <w:rFonts w:ascii="宋体" w:hAnsi="宋体"/>
          <w:color w:val="000000"/>
          <w:sz w:val="24"/>
          <w:szCs w:val="24"/>
          <w:highlight w:val="none"/>
        </w:rPr>
      </w:pPr>
      <w:r>
        <w:rPr>
          <w:rFonts w:hint="eastAsia" w:ascii="宋体" w:hAnsi="宋体"/>
          <w:color w:val="000000"/>
          <w:sz w:val="24"/>
          <w:szCs w:val="24"/>
          <w:highlight w:val="none"/>
        </w:rPr>
        <w:t>致：________________（比选代理机构名称）：</w:t>
      </w:r>
    </w:p>
    <w:p>
      <w:pPr>
        <w:tabs>
          <w:tab w:val="left" w:pos="6300"/>
        </w:tabs>
        <w:snapToGrid w:val="0"/>
        <w:spacing w:line="480" w:lineRule="exact"/>
        <w:ind w:firstLine="566" w:firstLineChars="236"/>
        <w:rPr>
          <w:rFonts w:ascii="宋体" w:hAnsi="宋体"/>
          <w:color w:val="000000"/>
          <w:sz w:val="24"/>
          <w:szCs w:val="24"/>
          <w:highlight w:val="none"/>
        </w:rPr>
      </w:pPr>
      <w:r>
        <w:rPr>
          <w:rFonts w:hint="eastAsia" w:ascii="宋体" w:hAnsi="宋体"/>
          <w:color w:val="000000"/>
          <w:sz w:val="24"/>
          <w:szCs w:val="24"/>
          <w:highlight w:val="none"/>
        </w:rPr>
        <w:t>________________（法定代表人姓名）在________________（竞选人名称）任________________（职务名称）职务，是________________（竞选人名称）的法定代表人。</w:t>
      </w:r>
    </w:p>
    <w:p>
      <w:pPr>
        <w:tabs>
          <w:tab w:val="left" w:pos="6300"/>
        </w:tabs>
        <w:snapToGrid w:val="0"/>
        <w:spacing w:line="480" w:lineRule="exact"/>
        <w:ind w:firstLine="570"/>
        <w:rPr>
          <w:rFonts w:ascii="宋体" w:hAnsi="宋体"/>
          <w:color w:val="000000"/>
          <w:sz w:val="24"/>
          <w:szCs w:val="24"/>
          <w:highlight w:val="none"/>
        </w:rPr>
      </w:pPr>
    </w:p>
    <w:p>
      <w:pPr>
        <w:tabs>
          <w:tab w:val="left" w:pos="6300"/>
        </w:tabs>
        <w:snapToGrid w:val="0"/>
        <w:spacing w:line="480" w:lineRule="exact"/>
        <w:ind w:firstLine="570"/>
        <w:rPr>
          <w:rFonts w:ascii="宋体" w:hAnsi="宋体"/>
          <w:color w:val="000000"/>
          <w:sz w:val="24"/>
          <w:szCs w:val="24"/>
          <w:highlight w:val="none"/>
        </w:rPr>
      </w:pPr>
      <w:r>
        <w:rPr>
          <w:rFonts w:hint="eastAsia" w:ascii="宋体" w:hAnsi="宋体"/>
          <w:color w:val="000000"/>
          <w:sz w:val="24"/>
          <w:szCs w:val="24"/>
          <w:highlight w:val="none"/>
        </w:rPr>
        <w:t>特此证明。</w:t>
      </w:r>
    </w:p>
    <w:p>
      <w:pPr>
        <w:tabs>
          <w:tab w:val="left" w:pos="6300"/>
        </w:tabs>
        <w:snapToGrid w:val="0"/>
        <w:spacing w:line="480" w:lineRule="exact"/>
        <w:ind w:firstLine="570"/>
        <w:rPr>
          <w:rFonts w:ascii="宋体" w:hAnsi="宋体"/>
          <w:color w:val="000000"/>
          <w:sz w:val="24"/>
          <w:szCs w:val="24"/>
          <w:highlight w:val="none"/>
        </w:rPr>
      </w:pPr>
    </w:p>
    <w:p>
      <w:pPr>
        <w:tabs>
          <w:tab w:val="left" w:pos="6300"/>
        </w:tabs>
        <w:snapToGrid w:val="0"/>
        <w:spacing w:line="480" w:lineRule="exact"/>
        <w:ind w:firstLine="570"/>
        <w:rPr>
          <w:rFonts w:ascii="宋体" w:hAnsi="宋体"/>
          <w:color w:val="000000"/>
          <w:sz w:val="24"/>
          <w:szCs w:val="24"/>
          <w:highlight w:val="none"/>
        </w:rPr>
      </w:pPr>
    </w:p>
    <w:p>
      <w:pPr>
        <w:tabs>
          <w:tab w:val="left" w:pos="6300"/>
        </w:tabs>
        <w:snapToGrid w:val="0"/>
        <w:spacing w:line="480" w:lineRule="exact"/>
        <w:ind w:firstLine="570"/>
        <w:rPr>
          <w:rFonts w:ascii="宋体" w:hAnsi="宋体"/>
          <w:color w:val="000000"/>
          <w:sz w:val="24"/>
          <w:szCs w:val="24"/>
          <w:highlight w:val="none"/>
        </w:rPr>
      </w:pPr>
    </w:p>
    <w:p>
      <w:pPr>
        <w:tabs>
          <w:tab w:val="left" w:pos="6300"/>
        </w:tabs>
        <w:snapToGrid w:val="0"/>
        <w:spacing w:line="480" w:lineRule="exact"/>
        <w:ind w:firstLine="570"/>
        <w:rPr>
          <w:rFonts w:ascii="宋体" w:hAnsi="宋体"/>
          <w:color w:val="000000"/>
          <w:sz w:val="24"/>
          <w:szCs w:val="24"/>
          <w:highlight w:val="none"/>
        </w:rPr>
      </w:pPr>
      <w:r>
        <w:rPr>
          <w:rFonts w:hint="eastAsia" w:ascii="宋体" w:hAnsi="宋体"/>
          <w:color w:val="000000"/>
          <w:sz w:val="24"/>
          <w:szCs w:val="24"/>
          <w:highlight w:val="none"/>
        </w:rPr>
        <w:t xml:space="preserve">                                             （竞选人公章）</w:t>
      </w:r>
    </w:p>
    <w:p>
      <w:pPr>
        <w:tabs>
          <w:tab w:val="left" w:pos="6300"/>
        </w:tabs>
        <w:snapToGrid w:val="0"/>
        <w:spacing w:line="480" w:lineRule="exact"/>
        <w:ind w:firstLine="570"/>
        <w:rPr>
          <w:rFonts w:ascii="宋体" w:hAnsi="宋体"/>
          <w:color w:val="000000"/>
          <w:sz w:val="24"/>
          <w:szCs w:val="24"/>
          <w:highlight w:val="none"/>
        </w:rPr>
      </w:pPr>
    </w:p>
    <w:p>
      <w:pPr>
        <w:tabs>
          <w:tab w:val="left" w:pos="6300"/>
        </w:tabs>
        <w:snapToGrid w:val="0"/>
        <w:spacing w:line="480" w:lineRule="exact"/>
        <w:ind w:firstLine="570"/>
        <w:rPr>
          <w:rFonts w:ascii="宋体" w:hAnsi="宋体"/>
          <w:color w:val="000000"/>
          <w:sz w:val="24"/>
          <w:szCs w:val="24"/>
          <w:highlight w:val="none"/>
        </w:rPr>
      </w:pPr>
      <w:r>
        <w:rPr>
          <w:rFonts w:hint="eastAsia" w:ascii="宋体" w:hAnsi="宋体"/>
          <w:color w:val="000000"/>
          <w:sz w:val="24"/>
          <w:szCs w:val="24"/>
          <w:highlight w:val="none"/>
        </w:rPr>
        <w:t xml:space="preserve">                                             年   月   日</w:t>
      </w:r>
    </w:p>
    <w:p>
      <w:pPr>
        <w:tabs>
          <w:tab w:val="left" w:pos="6300"/>
        </w:tabs>
        <w:snapToGrid w:val="0"/>
        <w:spacing w:line="480" w:lineRule="exact"/>
        <w:ind w:firstLine="570"/>
        <w:rPr>
          <w:rFonts w:ascii="宋体" w:hAnsi="宋体"/>
          <w:color w:val="000000"/>
          <w:sz w:val="24"/>
          <w:szCs w:val="24"/>
          <w:highlight w:val="none"/>
        </w:rPr>
      </w:pPr>
    </w:p>
    <w:p>
      <w:pPr>
        <w:tabs>
          <w:tab w:val="left" w:pos="6300"/>
        </w:tabs>
        <w:snapToGrid w:val="0"/>
        <w:spacing w:line="480" w:lineRule="exact"/>
        <w:ind w:firstLine="570"/>
        <w:rPr>
          <w:rFonts w:ascii="宋体" w:hAnsi="宋体"/>
          <w:color w:val="000000"/>
          <w:sz w:val="24"/>
          <w:szCs w:val="24"/>
          <w:highlight w:val="none"/>
        </w:rPr>
      </w:pPr>
      <w:r>
        <w:rPr>
          <w:rFonts w:hint="eastAsia" w:ascii="宋体" w:hAnsi="宋体"/>
          <w:color w:val="000000"/>
          <w:sz w:val="24"/>
          <w:szCs w:val="24"/>
          <w:highlight w:val="none"/>
        </w:rPr>
        <w:t>（附：法定代表人身份证正反面复印件）</w:t>
      </w:r>
    </w:p>
    <w:p>
      <w:pPr>
        <w:tabs>
          <w:tab w:val="left" w:pos="6300"/>
        </w:tabs>
        <w:snapToGrid w:val="0"/>
        <w:spacing w:line="480" w:lineRule="exact"/>
        <w:rPr>
          <w:rFonts w:ascii="宋体" w:hAnsi="宋体"/>
          <w:color w:val="000000"/>
          <w:sz w:val="24"/>
          <w:szCs w:val="24"/>
          <w:highlight w:val="none"/>
        </w:rPr>
      </w:pPr>
    </w:p>
    <w:p>
      <w:pPr>
        <w:tabs>
          <w:tab w:val="left" w:pos="6300"/>
        </w:tabs>
        <w:snapToGrid w:val="0"/>
        <w:spacing w:line="480" w:lineRule="exact"/>
        <w:rPr>
          <w:rFonts w:ascii="宋体" w:hAnsi="宋体"/>
          <w:color w:val="000000"/>
          <w:sz w:val="21"/>
          <w:szCs w:val="21"/>
          <w:highlight w:val="none"/>
        </w:rPr>
      </w:pPr>
    </w:p>
    <w:p>
      <w:pPr>
        <w:tabs>
          <w:tab w:val="left" w:pos="6300"/>
        </w:tabs>
        <w:snapToGrid w:val="0"/>
        <w:spacing w:line="480" w:lineRule="exact"/>
        <w:jc w:val="center"/>
        <w:rPr>
          <w:rFonts w:ascii="宋体" w:hAnsi="宋体"/>
          <w:color w:val="000000"/>
          <w:sz w:val="24"/>
          <w:szCs w:val="24"/>
          <w:highlight w:val="none"/>
        </w:rPr>
      </w:pPr>
      <w:r>
        <w:rPr>
          <w:rFonts w:ascii="宋体" w:hAnsi="宋体"/>
          <w:color w:val="000000"/>
          <w:sz w:val="21"/>
          <w:szCs w:val="21"/>
          <w:highlight w:val="none"/>
        </w:rPr>
        <w:br w:type="page"/>
      </w:r>
      <w:r>
        <w:rPr>
          <w:rFonts w:ascii="宋体" w:hAnsi="宋体"/>
          <w:color w:val="000000"/>
          <w:sz w:val="24"/>
          <w:szCs w:val="24"/>
          <w:highlight w:val="none"/>
        </w:rPr>
        <w:t>3.</w:t>
      </w:r>
      <w:r>
        <w:rPr>
          <w:rFonts w:hint="eastAsia" w:ascii="宋体" w:hAnsi="宋体"/>
          <w:color w:val="000000"/>
          <w:sz w:val="24"/>
          <w:szCs w:val="24"/>
          <w:highlight w:val="none"/>
        </w:rPr>
        <w:t>法定代表人授权委托书（格式）</w:t>
      </w:r>
    </w:p>
    <w:p>
      <w:pPr>
        <w:tabs>
          <w:tab w:val="left" w:pos="6300"/>
        </w:tabs>
        <w:snapToGrid w:val="0"/>
        <w:spacing w:line="480" w:lineRule="exact"/>
        <w:rPr>
          <w:rFonts w:ascii="宋体" w:hAnsi="宋体"/>
          <w:color w:val="000000"/>
          <w:sz w:val="24"/>
          <w:szCs w:val="24"/>
          <w:highlight w:val="none"/>
        </w:rPr>
      </w:pPr>
    </w:p>
    <w:p>
      <w:pPr>
        <w:tabs>
          <w:tab w:val="left" w:pos="6300"/>
        </w:tabs>
        <w:snapToGrid w:val="0"/>
        <w:spacing w:line="480" w:lineRule="exact"/>
        <w:rPr>
          <w:rFonts w:ascii="宋体" w:hAnsi="宋体"/>
          <w:color w:val="000000"/>
          <w:sz w:val="24"/>
          <w:szCs w:val="24"/>
          <w:highlight w:val="none"/>
        </w:rPr>
      </w:pPr>
      <w:r>
        <w:rPr>
          <w:rFonts w:hint="eastAsia" w:ascii="宋体" w:hAnsi="宋体"/>
          <w:color w:val="000000"/>
          <w:sz w:val="24"/>
          <w:szCs w:val="24"/>
          <w:highlight w:val="none"/>
        </w:rPr>
        <w:t>项目名称：_____________________</w:t>
      </w:r>
    </w:p>
    <w:p>
      <w:pPr>
        <w:tabs>
          <w:tab w:val="left" w:pos="6300"/>
        </w:tabs>
        <w:snapToGrid w:val="0"/>
        <w:spacing w:line="480" w:lineRule="exact"/>
        <w:rPr>
          <w:rFonts w:ascii="宋体" w:hAnsi="宋体"/>
          <w:color w:val="000000"/>
          <w:sz w:val="24"/>
          <w:szCs w:val="24"/>
          <w:highlight w:val="none"/>
        </w:rPr>
      </w:pPr>
      <w:r>
        <w:rPr>
          <w:rFonts w:hint="eastAsia" w:ascii="宋体" w:hAnsi="宋体"/>
          <w:color w:val="000000"/>
          <w:sz w:val="24"/>
          <w:szCs w:val="24"/>
          <w:highlight w:val="none"/>
        </w:rPr>
        <w:t>日    期：_______________</w:t>
      </w:r>
    </w:p>
    <w:p>
      <w:pPr>
        <w:tabs>
          <w:tab w:val="left" w:pos="6300"/>
        </w:tabs>
        <w:snapToGrid w:val="0"/>
        <w:spacing w:line="480" w:lineRule="exact"/>
        <w:rPr>
          <w:rFonts w:ascii="宋体" w:hAnsi="宋体"/>
          <w:color w:val="000000"/>
          <w:sz w:val="24"/>
          <w:szCs w:val="24"/>
          <w:highlight w:val="none"/>
        </w:rPr>
      </w:pPr>
      <w:r>
        <w:rPr>
          <w:rFonts w:hint="eastAsia" w:ascii="宋体" w:hAnsi="宋体"/>
          <w:color w:val="000000"/>
          <w:sz w:val="24"/>
          <w:szCs w:val="24"/>
          <w:highlight w:val="none"/>
        </w:rPr>
        <w:t>致：_____________________（比选代理机构名称）</w:t>
      </w:r>
    </w:p>
    <w:p>
      <w:pPr>
        <w:tabs>
          <w:tab w:val="left" w:pos="6300"/>
        </w:tabs>
        <w:snapToGrid w:val="0"/>
        <w:spacing w:line="480" w:lineRule="exact"/>
        <w:ind w:firstLine="555"/>
        <w:rPr>
          <w:rFonts w:ascii="宋体" w:hAnsi="宋体"/>
          <w:color w:val="000000"/>
          <w:sz w:val="24"/>
          <w:szCs w:val="24"/>
          <w:highlight w:val="none"/>
        </w:rPr>
      </w:pPr>
      <w:r>
        <w:rPr>
          <w:rFonts w:hint="eastAsia" w:ascii="宋体" w:hAnsi="宋体"/>
          <w:color w:val="000000"/>
          <w:sz w:val="24"/>
          <w:szCs w:val="24"/>
          <w:highlight w:val="none"/>
        </w:rPr>
        <w:t>_____________________（竞选人名称）是中华人民共和国合法企业，法定地址______________________________。</w:t>
      </w:r>
    </w:p>
    <w:p>
      <w:pPr>
        <w:tabs>
          <w:tab w:val="left" w:pos="6300"/>
        </w:tabs>
        <w:snapToGrid w:val="0"/>
        <w:spacing w:line="480" w:lineRule="exact"/>
        <w:ind w:firstLine="555"/>
        <w:rPr>
          <w:rFonts w:ascii="宋体" w:hAnsi="宋体"/>
          <w:color w:val="000000"/>
          <w:sz w:val="24"/>
          <w:szCs w:val="24"/>
          <w:highlight w:val="none"/>
        </w:rPr>
      </w:pPr>
      <w:r>
        <w:rPr>
          <w:rFonts w:hint="eastAsia" w:ascii="宋体" w:hAnsi="宋体"/>
          <w:color w:val="000000"/>
          <w:sz w:val="24"/>
          <w:szCs w:val="24"/>
          <w:highlight w:val="none"/>
        </w:rPr>
        <w:t xml:space="preserve"> _________（竞选人法定代表人姓名）特授权_________（被授权人姓名及身份证代码）代表我单位全权办理对上述项目的谈判、签约等具体工作，并签署全部有关的文件、协议及合同。</w:t>
      </w:r>
    </w:p>
    <w:p>
      <w:pPr>
        <w:tabs>
          <w:tab w:val="left" w:pos="6300"/>
        </w:tabs>
        <w:snapToGrid w:val="0"/>
        <w:spacing w:line="480" w:lineRule="exact"/>
        <w:ind w:firstLine="555"/>
        <w:rPr>
          <w:rFonts w:ascii="宋体" w:hAnsi="宋体"/>
          <w:color w:val="000000"/>
          <w:sz w:val="24"/>
          <w:szCs w:val="24"/>
          <w:highlight w:val="none"/>
        </w:rPr>
      </w:pPr>
      <w:r>
        <w:rPr>
          <w:rFonts w:hint="eastAsia" w:ascii="宋体" w:hAnsi="宋体"/>
          <w:color w:val="000000"/>
          <w:sz w:val="24"/>
          <w:szCs w:val="24"/>
          <w:highlight w:val="none"/>
        </w:rPr>
        <w:t>我单位对被授权人的签字负全部责任。</w:t>
      </w:r>
    </w:p>
    <w:p>
      <w:pPr>
        <w:tabs>
          <w:tab w:val="left" w:pos="6300"/>
        </w:tabs>
        <w:snapToGrid w:val="0"/>
        <w:spacing w:line="480" w:lineRule="exact"/>
        <w:ind w:firstLine="555"/>
        <w:rPr>
          <w:rFonts w:ascii="宋体" w:hAnsi="宋体"/>
          <w:color w:val="000000"/>
          <w:sz w:val="24"/>
          <w:szCs w:val="24"/>
          <w:highlight w:val="none"/>
        </w:rPr>
      </w:pPr>
      <w:r>
        <w:rPr>
          <w:rFonts w:hint="eastAsia" w:ascii="宋体" w:hAnsi="宋体"/>
          <w:color w:val="000000"/>
          <w:sz w:val="24"/>
          <w:szCs w:val="24"/>
          <w:highlight w:val="none"/>
        </w:rPr>
        <w:t>在撤消授权的书面通知以前，本授权书一直有效。被授权人签署的所有文件（在授权书有效期内签署的）不因授权的撤消而失效。</w:t>
      </w:r>
    </w:p>
    <w:p>
      <w:pPr>
        <w:tabs>
          <w:tab w:val="left" w:pos="6300"/>
        </w:tabs>
        <w:snapToGrid w:val="0"/>
        <w:spacing w:line="480" w:lineRule="exact"/>
        <w:rPr>
          <w:rFonts w:ascii="宋体" w:hAnsi="宋体"/>
          <w:color w:val="000000"/>
          <w:sz w:val="24"/>
          <w:szCs w:val="24"/>
          <w:highlight w:val="none"/>
        </w:rPr>
      </w:pPr>
    </w:p>
    <w:p>
      <w:pPr>
        <w:tabs>
          <w:tab w:val="left" w:pos="6300"/>
        </w:tabs>
        <w:snapToGrid w:val="0"/>
        <w:spacing w:line="480" w:lineRule="exact"/>
        <w:rPr>
          <w:rFonts w:ascii="宋体" w:hAnsi="宋体"/>
          <w:color w:val="000000"/>
          <w:sz w:val="24"/>
          <w:szCs w:val="24"/>
          <w:highlight w:val="none"/>
        </w:rPr>
      </w:pPr>
    </w:p>
    <w:p>
      <w:pPr>
        <w:tabs>
          <w:tab w:val="left" w:pos="6300"/>
        </w:tabs>
        <w:snapToGrid w:val="0"/>
        <w:spacing w:line="480" w:lineRule="exact"/>
        <w:rPr>
          <w:rFonts w:ascii="宋体" w:hAnsi="宋体"/>
          <w:color w:val="000000"/>
          <w:sz w:val="24"/>
          <w:szCs w:val="24"/>
          <w:highlight w:val="none"/>
        </w:rPr>
      </w:pPr>
      <w:r>
        <w:rPr>
          <w:rFonts w:hint="eastAsia" w:ascii="宋体" w:hAnsi="宋体"/>
          <w:color w:val="000000"/>
          <w:sz w:val="24"/>
          <w:szCs w:val="24"/>
          <w:highlight w:val="none"/>
        </w:rPr>
        <w:t>被授权人：                                  竞选人法定代表人：</w:t>
      </w:r>
    </w:p>
    <w:p>
      <w:pPr>
        <w:tabs>
          <w:tab w:val="left" w:pos="6300"/>
        </w:tabs>
        <w:snapToGrid w:val="0"/>
        <w:spacing w:line="480" w:lineRule="exact"/>
        <w:ind w:firstLine="240" w:firstLineChars="100"/>
        <w:rPr>
          <w:rFonts w:ascii="宋体" w:hAnsi="宋体"/>
          <w:color w:val="000000"/>
          <w:sz w:val="24"/>
          <w:szCs w:val="24"/>
          <w:highlight w:val="none"/>
        </w:rPr>
      </w:pPr>
      <w:r>
        <w:rPr>
          <w:rFonts w:hint="eastAsia" w:ascii="宋体" w:hAnsi="宋体"/>
          <w:color w:val="000000"/>
          <w:sz w:val="24"/>
          <w:szCs w:val="24"/>
          <w:highlight w:val="none"/>
        </w:rPr>
        <w:t>（签字或盖章）                                （签字或盖章）：</w:t>
      </w:r>
    </w:p>
    <w:p>
      <w:pPr>
        <w:tabs>
          <w:tab w:val="left" w:pos="6300"/>
        </w:tabs>
        <w:snapToGrid w:val="0"/>
        <w:spacing w:line="480" w:lineRule="exact"/>
        <w:ind w:firstLine="570"/>
        <w:rPr>
          <w:rFonts w:ascii="宋体" w:hAnsi="宋体"/>
          <w:color w:val="000000"/>
          <w:sz w:val="24"/>
          <w:szCs w:val="24"/>
          <w:highlight w:val="none"/>
        </w:rPr>
      </w:pPr>
    </w:p>
    <w:p>
      <w:pPr>
        <w:tabs>
          <w:tab w:val="left" w:pos="6300"/>
        </w:tabs>
        <w:snapToGrid w:val="0"/>
        <w:spacing w:line="480" w:lineRule="exact"/>
        <w:ind w:firstLine="570"/>
        <w:rPr>
          <w:rFonts w:ascii="宋体" w:hAnsi="宋体"/>
          <w:color w:val="000000"/>
          <w:sz w:val="24"/>
          <w:szCs w:val="24"/>
          <w:highlight w:val="none"/>
        </w:rPr>
      </w:pPr>
      <w:r>
        <w:rPr>
          <w:rFonts w:hint="eastAsia" w:ascii="宋体" w:hAnsi="宋体"/>
          <w:color w:val="000000"/>
          <w:sz w:val="24"/>
          <w:szCs w:val="24"/>
          <w:highlight w:val="none"/>
        </w:rPr>
        <w:t>（附：被授权人身份证复印件）</w:t>
      </w:r>
    </w:p>
    <w:p>
      <w:pPr>
        <w:tabs>
          <w:tab w:val="left" w:pos="6300"/>
        </w:tabs>
        <w:snapToGrid w:val="0"/>
        <w:spacing w:line="480" w:lineRule="exact"/>
        <w:rPr>
          <w:rFonts w:ascii="宋体" w:hAnsi="宋体"/>
          <w:color w:val="000000"/>
          <w:sz w:val="24"/>
          <w:szCs w:val="24"/>
          <w:highlight w:val="none"/>
        </w:rPr>
      </w:pPr>
    </w:p>
    <w:p>
      <w:pPr>
        <w:tabs>
          <w:tab w:val="left" w:pos="6300"/>
        </w:tabs>
        <w:snapToGrid w:val="0"/>
        <w:spacing w:line="480" w:lineRule="exact"/>
        <w:rPr>
          <w:rFonts w:ascii="宋体" w:hAnsi="宋体"/>
          <w:color w:val="000000"/>
          <w:sz w:val="24"/>
          <w:szCs w:val="24"/>
          <w:highlight w:val="none"/>
        </w:rPr>
      </w:pPr>
    </w:p>
    <w:p>
      <w:pPr>
        <w:tabs>
          <w:tab w:val="left" w:pos="6300"/>
        </w:tabs>
        <w:snapToGrid w:val="0"/>
        <w:spacing w:line="480" w:lineRule="exact"/>
        <w:rPr>
          <w:rFonts w:ascii="宋体" w:hAnsi="宋体"/>
          <w:color w:val="000000"/>
          <w:sz w:val="24"/>
          <w:szCs w:val="24"/>
          <w:highlight w:val="none"/>
        </w:rPr>
      </w:pPr>
    </w:p>
    <w:p>
      <w:pPr>
        <w:tabs>
          <w:tab w:val="left" w:pos="6300"/>
        </w:tabs>
        <w:snapToGrid w:val="0"/>
        <w:spacing w:line="480" w:lineRule="exact"/>
        <w:rPr>
          <w:rFonts w:ascii="宋体" w:hAnsi="宋体"/>
          <w:color w:val="000000"/>
          <w:sz w:val="24"/>
          <w:szCs w:val="24"/>
          <w:highlight w:val="none"/>
        </w:rPr>
      </w:pPr>
    </w:p>
    <w:p>
      <w:pPr>
        <w:tabs>
          <w:tab w:val="left" w:pos="6300"/>
        </w:tabs>
        <w:snapToGrid w:val="0"/>
        <w:spacing w:line="480" w:lineRule="exact"/>
        <w:rPr>
          <w:rFonts w:ascii="宋体" w:hAnsi="宋体"/>
          <w:color w:val="000000"/>
          <w:sz w:val="24"/>
          <w:szCs w:val="24"/>
          <w:highlight w:val="none"/>
        </w:rPr>
      </w:pPr>
    </w:p>
    <w:p>
      <w:pPr>
        <w:tabs>
          <w:tab w:val="left" w:pos="6300"/>
        </w:tabs>
        <w:snapToGrid w:val="0"/>
        <w:spacing w:line="480" w:lineRule="exact"/>
        <w:rPr>
          <w:rFonts w:ascii="宋体" w:hAnsi="宋体"/>
          <w:color w:val="000000"/>
          <w:sz w:val="24"/>
          <w:szCs w:val="24"/>
          <w:highlight w:val="none"/>
        </w:rPr>
      </w:pPr>
    </w:p>
    <w:p>
      <w:pPr>
        <w:snapToGrid w:val="0"/>
        <w:spacing w:line="480" w:lineRule="exact"/>
        <w:rPr>
          <w:rFonts w:ascii="宋体" w:hAnsi="宋体"/>
          <w:color w:val="000000"/>
          <w:sz w:val="24"/>
          <w:szCs w:val="24"/>
          <w:highlight w:val="none"/>
        </w:rPr>
      </w:pPr>
      <w:r>
        <w:rPr>
          <w:rFonts w:hint="eastAsia" w:ascii="宋体" w:hAnsi="宋体"/>
          <w:color w:val="000000"/>
          <w:sz w:val="24"/>
          <w:szCs w:val="24"/>
          <w:highlight w:val="none"/>
        </w:rPr>
        <w:t xml:space="preserve">                                                    （竞选人公章）</w:t>
      </w:r>
    </w:p>
    <w:p>
      <w:pPr>
        <w:snapToGrid w:val="0"/>
        <w:spacing w:line="480" w:lineRule="exact"/>
        <w:ind w:firstLine="6480" w:firstLineChars="2700"/>
        <w:rPr>
          <w:rFonts w:ascii="宋体" w:hAnsi="宋体"/>
          <w:color w:val="000000"/>
          <w:sz w:val="24"/>
          <w:szCs w:val="24"/>
          <w:highlight w:val="none"/>
        </w:rPr>
      </w:pPr>
      <w:r>
        <w:rPr>
          <w:rFonts w:hint="eastAsia" w:ascii="宋体" w:hAnsi="宋体"/>
          <w:color w:val="000000"/>
          <w:sz w:val="24"/>
          <w:szCs w:val="24"/>
          <w:highlight w:val="none"/>
        </w:rPr>
        <w:t>年   月   日</w:t>
      </w:r>
    </w:p>
    <w:p>
      <w:pPr>
        <w:tabs>
          <w:tab w:val="left" w:pos="6300"/>
        </w:tabs>
        <w:snapToGrid w:val="0"/>
        <w:spacing w:line="480" w:lineRule="exact"/>
        <w:ind w:firstLine="600" w:firstLineChars="250"/>
        <w:rPr>
          <w:rFonts w:ascii="宋体" w:hAnsi="宋体"/>
          <w:color w:val="000000"/>
          <w:sz w:val="24"/>
          <w:szCs w:val="24"/>
          <w:highlight w:val="none"/>
        </w:rPr>
      </w:pPr>
    </w:p>
    <w:p>
      <w:pPr>
        <w:widowControl/>
        <w:jc w:val="left"/>
        <w:rPr>
          <w:rFonts w:ascii="宋体" w:hAnsi="宋体"/>
          <w:color w:val="000000"/>
          <w:sz w:val="24"/>
          <w:szCs w:val="24"/>
          <w:highlight w:val="none"/>
        </w:rPr>
      </w:pPr>
      <w:r>
        <w:rPr>
          <w:rFonts w:hint="eastAsia" w:ascii="宋体" w:hAnsi="宋体"/>
          <w:color w:val="000000"/>
          <w:sz w:val="24"/>
          <w:szCs w:val="24"/>
          <w:highlight w:val="none"/>
        </w:rPr>
        <w:t>注：如竞选单位法定代表人亲自参加，则无须提供该授权委托书。</w:t>
      </w:r>
      <w:r>
        <w:rPr>
          <w:rFonts w:hint="eastAsia" w:ascii="宋体" w:hAnsi="宋体"/>
          <w:color w:val="000000"/>
          <w:sz w:val="24"/>
          <w:szCs w:val="24"/>
          <w:highlight w:val="none"/>
        </w:rPr>
        <w:br w:type="page"/>
      </w:r>
    </w:p>
    <w:p>
      <w:pPr>
        <w:widowControl/>
        <w:jc w:val="left"/>
        <w:rPr>
          <w:rFonts w:ascii="宋体" w:hAnsi="宋体"/>
          <w:color w:val="000000"/>
          <w:sz w:val="24"/>
          <w:szCs w:val="24"/>
          <w:highlight w:val="none"/>
        </w:rPr>
      </w:pPr>
    </w:p>
    <w:p>
      <w:pPr>
        <w:widowControl/>
        <w:jc w:val="left"/>
        <w:rPr>
          <w:rFonts w:ascii="宋体" w:hAnsi="宋体"/>
          <w:sz w:val="24"/>
          <w:szCs w:val="24"/>
          <w:highlight w:val="none"/>
        </w:rPr>
      </w:pPr>
      <w:r>
        <w:rPr>
          <w:rFonts w:hint="eastAsia" w:ascii="宋体" w:hAnsi="宋体"/>
          <w:sz w:val="24"/>
          <w:szCs w:val="24"/>
          <w:highlight w:val="none"/>
        </w:rPr>
        <w:t>4.基本资格条件承诺函</w:t>
      </w:r>
    </w:p>
    <w:p>
      <w:pPr>
        <w:widowControl/>
        <w:jc w:val="left"/>
        <w:rPr>
          <w:rFonts w:ascii="宋体" w:hAnsi="宋体"/>
          <w:sz w:val="24"/>
          <w:szCs w:val="24"/>
          <w:highlight w:val="none"/>
        </w:rPr>
      </w:pPr>
    </w:p>
    <w:p>
      <w:pPr>
        <w:widowControl/>
        <w:jc w:val="left"/>
        <w:rPr>
          <w:rFonts w:ascii="宋体" w:hAnsi="宋体"/>
          <w:sz w:val="24"/>
          <w:szCs w:val="24"/>
          <w:highlight w:val="none"/>
        </w:rPr>
      </w:pPr>
    </w:p>
    <w:p>
      <w:pPr>
        <w:widowControl/>
        <w:jc w:val="center"/>
        <w:rPr>
          <w:rFonts w:ascii="宋体" w:hAnsi="宋体"/>
          <w:sz w:val="32"/>
          <w:szCs w:val="32"/>
          <w:highlight w:val="none"/>
        </w:rPr>
      </w:pPr>
      <w:r>
        <w:rPr>
          <w:rFonts w:hint="eastAsia" w:ascii="宋体" w:hAnsi="宋体"/>
          <w:sz w:val="32"/>
          <w:szCs w:val="32"/>
          <w:highlight w:val="none"/>
        </w:rPr>
        <w:t>基本资格条件承诺函</w:t>
      </w:r>
    </w:p>
    <w:p>
      <w:pPr>
        <w:widowControl/>
        <w:jc w:val="left"/>
        <w:rPr>
          <w:rFonts w:ascii="宋体" w:hAnsi="宋体"/>
          <w:sz w:val="24"/>
          <w:szCs w:val="24"/>
          <w:highlight w:val="none"/>
        </w:rPr>
      </w:pPr>
    </w:p>
    <w:p>
      <w:pPr>
        <w:widowControl/>
        <w:jc w:val="left"/>
        <w:rPr>
          <w:rFonts w:ascii="宋体" w:hAnsi="宋体"/>
          <w:sz w:val="24"/>
          <w:szCs w:val="24"/>
          <w:highlight w:val="none"/>
        </w:rPr>
      </w:pPr>
    </w:p>
    <w:p>
      <w:pPr>
        <w:widowControl/>
        <w:jc w:val="left"/>
        <w:rPr>
          <w:rFonts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u w:val="single"/>
        </w:rPr>
        <w:t xml:space="preserve">                   </w:t>
      </w:r>
      <w:r>
        <w:rPr>
          <w:rFonts w:hint="eastAsia" w:ascii="宋体" w:hAnsi="宋体"/>
          <w:sz w:val="24"/>
          <w:szCs w:val="24"/>
          <w:highlight w:val="none"/>
        </w:rPr>
        <w:t>（比选人名称）：</w:t>
      </w:r>
    </w:p>
    <w:p>
      <w:pPr>
        <w:widowControl/>
        <w:jc w:val="left"/>
        <w:rPr>
          <w:rFonts w:ascii="宋体" w:hAnsi="宋体"/>
          <w:sz w:val="24"/>
          <w:szCs w:val="24"/>
          <w:highlight w:val="none"/>
          <w:u w:val="single"/>
        </w:rPr>
      </w:pPr>
    </w:p>
    <w:p>
      <w:pPr>
        <w:widowControl/>
        <w:jc w:val="left"/>
        <w:rPr>
          <w:rFonts w:ascii="宋体" w:hAnsi="宋体"/>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（竞选人名称）郑重承诺：</w:t>
      </w:r>
    </w:p>
    <w:p>
      <w:pPr>
        <w:widowControl/>
        <w:spacing w:line="360" w:lineRule="auto"/>
        <w:ind w:firstLine="480" w:firstLineChars="200"/>
        <w:jc w:val="left"/>
        <w:rPr>
          <w:rFonts w:ascii="宋体" w:hAnsi="宋体"/>
          <w:sz w:val="24"/>
          <w:szCs w:val="24"/>
          <w:highlight w:val="none"/>
        </w:rPr>
      </w:pPr>
    </w:p>
    <w:p>
      <w:pPr>
        <w:widowControl/>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1．我方具有良好的商业信誉和健全的财务会计制度，具有履行合同所必需的设备和专业技术能力，具</w:t>
      </w:r>
      <w:r>
        <w:rPr>
          <w:rFonts w:hint="eastAsia" w:ascii="宋体" w:hAnsi="宋体"/>
          <w:sz w:val="24"/>
          <w:szCs w:val="24"/>
          <w:highlight w:val="none"/>
          <w:lang w:val="zh-CN"/>
        </w:rPr>
        <w:t>有依法缴纳税收和社会保障金的良好记录</w:t>
      </w:r>
      <w:r>
        <w:rPr>
          <w:rFonts w:hint="eastAsia" w:ascii="宋体" w:hAnsi="宋体"/>
          <w:sz w:val="24"/>
          <w:szCs w:val="24"/>
          <w:highlight w:val="none"/>
        </w:rPr>
        <w:t>，参加本项目采购活动前三年内无重大违法活动记录。</w:t>
      </w:r>
    </w:p>
    <w:p>
      <w:pPr>
        <w:widowControl/>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widowControl/>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3．我方在采购项目评审（评标）环节结束后，随时接受比选人、比选代理机构的检查验证，配合提供相关证明材料，证明符合本项目规定的基本资格条件。</w:t>
      </w:r>
    </w:p>
    <w:p>
      <w:pPr>
        <w:widowControl/>
        <w:spacing w:line="360" w:lineRule="auto"/>
        <w:ind w:firstLine="480" w:firstLineChars="200"/>
        <w:jc w:val="left"/>
        <w:rPr>
          <w:rFonts w:ascii="宋体" w:hAnsi="宋体"/>
          <w:sz w:val="24"/>
          <w:szCs w:val="24"/>
          <w:highlight w:val="none"/>
        </w:rPr>
      </w:pPr>
    </w:p>
    <w:p>
      <w:pPr>
        <w:widowControl/>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我方对以上承诺负全部法律责任。</w:t>
      </w:r>
    </w:p>
    <w:p>
      <w:pPr>
        <w:widowControl/>
        <w:spacing w:line="360" w:lineRule="auto"/>
        <w:ind w:firstLine="480" w:firstLineChars="200"/>
        <w:jc w:val="left"/>
        <w:rPr>
          <w:rFonts w:ascii="宋体" w:hAnsi="宋体"/>
          <w:sz w:val="24"/>
          <w:szCs w:val="24"/>
          <w:highlight w:val="none"/>
        </w:rPr>
      </w:pPr>
    </w:p>
    <w:p>
      <w:pPr>
        <w:widowControl/>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特此承诺。</w:t>
      </w:r>
    </w:p>
    <w:p>
      <w:pPr>
        <w:widowControl/>
        <w:jc w:val="left"/>
        <w:rPr>
          <w:rFonts w:ascii="宋体" w:hAnsi="宋体"/>
          <w:sz w:val="24"/>
          <w:szCs w:val="24"/>
          <w:highlight w:val="none"/>
        </w:rPr>
      </w:pPr>
    </w:p>
    <w:p>
      <w:pPr>
        <w:widowControl/>
        <w:jc w:val="left"/>
        <w:rPr>
          <w:rFonts w:ascii="宋体" w:hAnsi="宋体"/>
          <w:sz w:val="24"/>
          <w:szCs w:val="24"/>
          <w:highlight w:val="none"/>
        </w:rPr>
      </w:pPr>
    </w:p>
    <w:p>
      <w:pPr>
        <w:widowControl/>
        <w:jc w:val="right"/>
        <w:rPr>
          <w:rFonts w:ascii="宋体" w:hAnsi="宋体"/>
          <w:sz w:val="24"/>
          <w:szCs w:val="24"/>
          <w:highlight w:val="none"/>
        </w:rPr>
      </w:pPr>
      <w:r>
        <w:rPr>
          <w:rFonts w:hint="eastAsia" w:ascii="宋体" w:hAnsi="宋体"/>
          <w:sz w:val="24"/>
          <w:szCs w:val="24"/>
          <w:highlight w:val="none"/>
        </w:rPr>
        <w:t xml:space="preserve">                      （竞选人公章）</w:t>
      </w:r>
    </w:p>
    <w:p>
      <w:pPr>
        <w:widowControl/>
        <w:jc w:val="right"/>
        <w:rPr>
          <w:rFonts w:ascii="宋体" w:hAnsi="宋体"/>
          <w:sz w:val="24"/>
          <w:szCs w:val="24"/>
          <w:highlight w:val="none"/>
        </w:rPr>
      </w:pPr>
    </w:p>
    <w:p>
      <w:pPr>
        <w:widowControl/>
        <w:jc w:val="right"/>
        <w:rPr>
          <w:rFonts w:ascii="宋体" w:hAnsi="宋体"/>
          <w:sz w:val="24"/>
          <w:szCs w:val="24"/>
          <w:highlight w:val="none"/>
        </w:rPr>
      </w:pPr>
      <w:r>
        <w:rPr>
          <w:rFonts w:hint="eastAsia" w:ascii="宋体" w:hAnsi="宋体"/>
          <w:sz w:val="24"/>
          <w:szCs w:val="24"/>
          <w:highlight w:val="none"/>
        </w:rPr>
        <w:t>年   月   日</w:t>
      </w:r>
    </w:p>
    <w:p>
      <w:pPr>
        <w:widowControl/>
        <w:jc w:val="left"/>
        <w:rPr>
          <w:rFonts w:ascii="宋体" w:hAnsi="宋体"/>
          <w:sz w:val="24"/>
          <w:szCs w:val="24"/>
          <w:highlight w:val="none"/>
        </w:rPr>
        <w:sectPr>
          <w:pgSz w:w="11907" w:h="16840"/>
          <w:pgMar w:top="850" w:right="850" w:bottom="850" w:left="850" w:header="851" w:footer="992" w:gutter="0"/>
          <w:cols w:space="720" w:num="1"/>
          <w:docGrid w:linePitch="380" w:charSpace="-5735"/>
        </w:sectPr>
      </w:pPr>
    </w:p>
    <w:p>
      <w:pPr>
        <w:widowControl/>
        <w:jc w:val="left"/>
        <w:rPr>
          <w:rFonts w:ascii="宋体" w:hAnsi="宋体"/>
          <w:color w:val="000000"/>
          <w:sz w:val="24"/>
          <w:szCs w:val="24"/>
          <w:highlight w:val="none"/>
        </w:rPr>
      </w:pPr>
    </w:p>
    <w:p>
      <w:pPr>
        <w:widowControl/>
        <w:jc w:val="left"/>
        <w:rPr>
          <w:rFonts w:ascii="宋体" w:hAnsi="宋体"/>
          <w:color w:val="000000"/>
          <w:sz w:val="24"/>
          <w:szCs w:val="24"/>
          <w:highlight w:val="none"/>
        </w:rPr>
      </w:pPr>
      <w:r>
        <w:rPr>
          <w:rFonts w:hint="eastAsia" w:ascii="宋体" w:hAnsi="宋体"/>
          <w:color w:val="000000"/>
          <w:sz w:val="24"/>
          <w:szCs w:val="24"/>
          <w:highlight w:val="none"/>
        </w:rPr>
        <w:t>（二）其他应提供的资料</w:t>
      </w:r>
    </w:p>
    <w:p>
      <w:pPr>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1.保证金交纳凭证复印件</w:t>
      </w:r>
    </w:p>
    <w:p>
      <w:pPr>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 xml:space="preserve">2.其他与项目有关的资料（如有，自附。） </w:t>
      </w:r>
    </w:p>
    <w:p>
      <w:pPr>
        <w:spacing w:line="480" w:lineRule="exact"/>
        <w:ind w:firstLine="480" w:firstLineChars="200"/>
        <w:rPr>
          <w:rFonts w:ascii="宋体" w:hAnsi="宋体"/>
          <w:color w:val="000000"/>
          <w:sz w:val="24"/>
          <w:szCs w:val="24"/>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p>
    <w:p>
      <w:pPr>
        <w:spacing w:line="480" w:lineRule="exact"/>
        <w:rPr>
          <w:rFonts w:ascii="宋体" w:hAnsi="宋体"/>
          <w:color w:val="000000"/>
          <w:sz w:val="21"/>
          <w:szCs w:val="21"/>
          <w:highlight w:val="none"/>
        </w:rPr>
      </w:pPr>
    </w:p>
    <w:p>
      <w:pPr>
        <w:spacing w:line="480" w:lineRule="exact"/>
        <w:ind w:firstLine="420" w:firstLineChars="200"/>
        <w:jc w:val="center"/>
        <w:rPr>
          <w:rFonts w:ascii="宋体" w:hAnsi="宋体"/>
          <w:color w:val="000000"/>
          <w:sz w:val="21"/>
          <w:szCs w:val="21"/>
          <w:highlight w:val="none"/>
        </w:rPr>
      </w:pPr>
      <w:r>
        <w:rPr>
          <w:rFonts w:hint="eastAsia" w:ascii="宋体" w:hAnsi="宋体"/>
          <w:color w:val="000000"/>
          <w:sz w:val="21"/>
          <w:szCs w:val="21"/>
          <w:highlight w:val="none"/>
        </w:rPr>
        <w:t>（结束）</w:t>
      </w:r>
    </w:p>
    <w:sectPr>
      <w:pgSz w:w="11907" w:h="16840"/>
      <w:pgMar w:top="850" w:right="850" w:bottom="850" w:left="850"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Bookshelf Symbol 7">
    <w:panose1 w:val="05010101010101010101"/>
    <w:charset w:val="02"/>
    <w:family w:val="auto"/>
    <w:pitch w:val="default"/>
    <w:sig w:usb0="00000000" w:usb1="00000000" w:usb2="00000000" w:usb3="00000000" w:csb0="80000000" w:csb1="00000000"/>
  </w:font>
  <w:font w:name="汉仪楷体S">
    <w:altName w:val="宋体"/>
    <w:panose1 w:val="00000000000000000000"/>
    <w:charset w:val="86"/>
    <w:family w:val="auto"/>
    <w:pitch w:val="default"/>
    <w:sig w:usb0="00000000" w:usb1="00000000" w:usb2="00000016"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晶栩粗黑">
    <w:altName w:val="黑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正黑_GBK">
    <w:altName w:val="黑体"/>
    <w:panose1 w:val="00000000000000000000"/>
    <w:charset w:val="86"/>
    <w:family w:val="auto"/>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8"/>
                      <w:jc w:val="center"/>
                    </w:pPr>
                    <w:r>
                      <w:fldChar w:fldCharType="begin"/>
                    </w:r>
                    <w:r>
                      <w:instrText xml:space="preserve"> PAGE   \* MERGEFORMAT </w:instrText>
                    </w:r>
                    <w:r>
                      <w:fldChar w:fldCharType="separate"/>
                    </w:r>
                    <w:r>
                      <w:t>8</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5"/>
      </w:rPr>
    </w:pPr>
    <w:r>
      <w:fldChar w:fldCharType="begin"/>
    </w:r>
    <w:r>
      <w:rPr>
        <w:rStyle w:val="65"/>
      </w:rPr>
      <w:instrText xml:space="preserve">PAGE  </w:instrText>
    </w:r>
    <w:r>
      <w:fldChar w:fldCharType="separate"/>
    </w:r>
    <w:r>
      <w:rPr>
        <w:rStyle w:val="65"/>
      </w:rPr>
      <w:t>3</w:t>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720" w:firstLineChars="400"/>
      <w:jc w:val="both"/>
      <w:rPr>
        <w:szCs w:val="21"/>
      </w:rPr>
    </w:pPr>
    <w:r>
      <w:rPr>
        <w:rFonts w:hint="eastAsia"/>
        <w:szCs w:val="21"/>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Cs w:val="28"/>
      </w:rPr>
      <w:t xml:space="preserve">瀚景项目管理有限公司重庆分公司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900" w:firstLineChars="500"/>
      <w:jc w:val="both"/>
      <w:rPr>
        <w:rFonts w:ascii="宋体" w:hAnsi="宋体"/>
        <w:sz w:val="21"/>
        <w:szCs w:val="21"/>
      </w:rPr>
    </w:pPr>
    <w:r>
      <w:rPr>
        <w:rFonts w:hint="eastAsia"/>
        <w:szCs w:val="21"/>
      </w:rPr>
      <w:drawing>
        <wp:anchor distT="0" distB="0" distL="114300" distR="114300" simplePos="0" relativeHeight="251660288" behindDoc="0" locked="0" layoutInCell="1" allowOverlap="1">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 xml:space="preserve">瀚景项目管理有限公司重庆分公司                                   </w:t>
    </w:r>
    <w:r>
      <w:rPr>
        <w:rFonts w:hint="eastAsia" w:ascii="宋体" w:hAnsi="宋体"/>
        <w:sz w:val="21"/>
        <w:szCs w:val="21"/>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firstLineChars="200"/>
      <w:jc w:val="both"/>
    </w:pPr>
    <w:r>
      <w:rPr>
        <w:rFonts w:hint="eastAsia"/>
        <w:szCs w:val="21"/>
      </w:rPr>
      <w:drawing>
        <wp:anchor distT="0" distB="0" distL="114300" distR="114300" simplePos="0" relativeHeight="251662336" behindDoc="0" locked="0" layoutInCell="1" allowOverlap="1">
          <wp:simplePos x="0" y="0"/>
          <wp:positionH relativeFrom="column">
            <wp:posOffset>-666750</wp:posOffset>
          </wp:positionH>
          <wp:positionV relativeFrom="paragraph">
            <wp:posOffset>-191135</wp:posOffset>
          </wp:positionV>
          <wp:extent cx="656590" cy="423545"/>
          <wp:effectExtent l="0" t="0" r="10160" b="14605"/>
          <wp:wrapNone/>
          <wp:docPr id="5"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Cs w:val="28"/>
      </w:rPr>
      <w:t xml:space="preserve">瀚景项目管理有限公司重庆分公司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900" w:firstLineChars="500"/>
      <w:jc w:val="both"/>
      <w:rPr>
        <w:szCs w:val="18"/>
      </w:rPr>
    </w:pPr>
    <w:r>
      <w:rPr>
        <w:rFonts w:hint="eastAsia"/>
        <w:szCs w:val="21"/>
      </w:rPr>
      <w:drawing>
        <wp:anchor distT="0" distB="0" distL="114300" distR="114300" simplePos="0" relativeHeight="251661312" behindDoc="0" locked="0" layoutInCell="1" allowOverlap="1">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 xml:space="preserve">瀚景项目管理有限公司重庆分公司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ABFCF"/>
    <w:multiLevelType w:val="singleLevel"/>
    <w:tmpl w:val="AF0ABFCF"/>
    <w:lvl w:ilvl="0" w:tentative="0">
      <w:start w:val="1"/>
      <w:numFmt w:val="chineseCounting"/>
      <w:suff w:val="nothing"/>
      <w:lvlText w:val="%1、"/>
      <w:lvlJc w:val="left"/>
      <w:rPr>
        <w:rFonts w:hint="eastAsia"/>
      </w:rPr>
    </w:lvl>
  </w:abstractNum>
  <w:abstractNum w:abstractNumId="1">
    <w:nsid w:val="BA882B7F"/>
    <w:multiLevelType w:val="singleLevel"/>
    <w:tmpl w:val="BA882B7F"/>
    <w:lvl w:ilvl="0" w:tentative="0">
      <w:start w:val="1"/>
      <w:numFmt w:val="chineseCounting"/>
      <w:suff w:val="nothing"/>
      <w:lvlText w:val="（%1）"/>
      <w:lvlJc w:val="left"/>
      <w:rPr>
        <w:rFonts w:hint="eastAsia"/>
      </w:rPr>
    </w:lvl>
  </w:abstractNum>
  <w:abstractNum w:abstractNumId="2">
    <w:nsid w:val="00000005"/>
    <w:multiLevelType w:val="singleLevel"/>
    <w:tmpl w:val="00000005"/>
    <w:lvl w:ilvl="0" w:tentative="0">
      <w:start w:val="1"/>
      <w:numFmt w:val="chineseCounting"/>
      <w:suff w:val="nothing"/>
      <w:lvlText w:val="（%1）"/>
      <w:lvlJc w:val="left"/>
    </w:lvl>
  </w:abstractNum>
  <w:abstractNum w:abstractNumId="3">
    <w:nsid w:val="00000007"/>
    <w:multiLevelType w:val="multilevel"/>
    <w:tmpl w:val="00000007"/>
    <w:lvl w:ilvl="0" w:tentative="0">
      <w:start w:val="1"/>
      <w:numFmt w:val="japaneseCounting"/>
      <w:lvlText w:val="（%1）"/>
      <w:lvlJc w:val="left"/>
      <w:pPr>
        <w:ind w:left="1185"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4">
    <w:nsid w:val="1779E827"/>
    <w:multiLevelType w:val="singleLevel"/>
    <w:tmpl w:val="1779E827"/>
    <w:lvl w:ilvl="0" w:tentative="0">
      <w:start w:val="3"/>
      <w:numFmt w:val="chineseCounting"/>
      <w:suff w:val="nothing"/>
      <w:lvlText w:val="（%1）"/>
      <w:lvlJc w:val="left"/>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NotTrackMove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DY4MGU3YWYyMjFlODUyMTUzZDVhNDI0M2VjNDkifQ=="/>
  </w:docVars>
  <w:rsids>
    <w:rsidRoot w:val="00172A27"/>
    <w:rsid w:val="00003108"/>
    <w:rsid w:val="00003878"/>
    <w:rsid w:val="00004E4E"/>
    <w:rsid w:val="000066B3"/>
    <w:rsid w:val="00010138"/>
    <w:rsid w:val="00010A29"/>
    <w:rsid w:val="00015D37"/>
    <w:rsid w:val="00016B79"/>
    <w:rsid w:val="00017FFB"/>
    <w:rsid w:val="00021C89"/>
    <w:rsid w:val="000239D5"/>
    <w:rsid w:val="00023AB4"/>
    <w:rsid w:val="00025885"/>
    <w:rsid w:val="000267D0"/>
    <w:rsid w:val="0002777A"/>
    <w:rsid w:val="000351C4"/>
    <w:rsid w:val="0003632F"/>
    <w:rsid w:val="000378BE"/>
    <w:rsid w:val="00042252"/>
    <w:rsid w:val="00042890"/>
    <w:rsid w:val="00043D72"/>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3A1F"/>
    <w:rsid w:val="00076250"/>
    <w:rsid w:val="000774BA"/>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A30"/>
    <w:rsid w:val="000F34CF"/>
    <w:rsid w:val="000F5B6E"/>
    <w:rsid w:val="000F7DBF"/>
    <w:rsid w:val="00100639"/>
    <w:rsid w:val="00100684"/>
    <w:rsid w:val="001020C8"/>
    <w:rsid w:val="0010645A"/>
    <w:rsid w:val="00106CE8"/>
    <w:rsid w:val="00106F72"/>
    <w:rsid w:val="001103B7"/>
    <w:rsid w:val="001115B4"/>
    <w:rsid w:val="00113810"/>
    <w:rsid w:val="00115B7D"/>
    <w:rsid w:val="00115BFD"/>
    <w:rsid w:val="00116856"/>
    <w:rsid w:val="00116D20"/>
    <w:rsid w:val="00120002"/>
    <w:rsid w:val="00120259"/>
    <w:rsid w:val="001204CB"/>
    <w:rsid w:val="00123129"/>
    <w:rsid w:val="00123970"/>
    <w:rsid w:val="001259A1"/>
    <w:rsid w:val="00131B1D"/>
    <w:rsid w:val="00131C13"/>
    <w:rsid w:val="001333B3"/>
    <w:rsid w:val="00133D16"/>
    <w:rsid w:val="00134207"/>
    <w:rsid w:val="00136482"/>
    <w:rsid w:val="001404C1"/>
    <w:rsid w:val="00140574"/>
    <w:rsid w:val="0014081C"/>
    <w:rsid w:val="001423BF"/>
    <w:rsid w:val="001427EB"/>
    <w:rsid w:val="001436CD"/>
    <w:rsid w:val="00144751"/>
    <w:rsid w:val="00147FB4"/>
    <w:rsid w:val="0015011C"/>
    <w:rsid w:val="001503AA"/>
    <w:rsid w:val="00150429"/>
    <w:rsid w:val="00151D39"/>
    <w:rsid w:val="0015276E"/>
    <w:rsid w:val="00152C89"/>
    <w:rsid w:val="00154619"/>
    <w:rsid w:val="00155D32"/>
    <w:rsid w:val="00155E3B"/>
    <w:rsid w:val="001565B1"/>
    <w:rsid w:val="00156647"/>
    <w:rsid w:val="00160A78"/>
    <w:rsid w:val="0016252C"/>
    <w:rsid w:val="00163360"/>
    <w:rsid w:val="001653FD"/>
    <w:rsid w:val="001656EB"/>
    <w:rsid w:val="00165BEA"/>
    <w:rsid w:val="001675F5"/>
    <w:rsid w:val="00170622"/>
    <w:rsid w:val="001711F5"/>
    <w:rsid w:val="00171F12"/>
    <w:rsid w:val="00172A27"/>
    <w:rsid w:val="00174CDF"/>
    <w:rsid w:val="001753F8"/>
    <w:rsid w:val="00175F08"/>
    <w:rsid w:val="0017640C"/>
    <w:rsid w:val="00180ACB"/>
    <w:rsid w:val="00180BFD"/>
    <w:rsid w:val="00181522"/>
    <w:rsid w:val="00182AC7"/>
    <w:rsid w:val="00183A34"/>
    <w:rsid w:val="00185C19"/>
    <w:rsid w:val="00190398"/>
    <w:rsid w:val="00191986"/>
    <w:rsid w:val="00191DE8"/>
    <w:rsid w:val="00193113"/>
    <w:rsid w:val="001941E8"/>
    <w:rsid w:val="00195CA9"/>
    <w:rsid w:val="00195D6B"/>
    <w:rsid w:val="00197087"/>
    <w:rsid w:val="0019734A"/>
    <w:rsid w:val="00197D14"/>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FA5"/>
    <w:rsid w:val="001F4814"/>
    <w:rsid w:val="001F4964"/>
    <w:rsid w:val="001F517F"/>
    <w:rsid w:val="001F5315"/>
    <w:rsid w:val="001F54CD"/>
    <w:rsid w:val="001F555A"/>
    <w:rsid w:val="001F5E9C"/>
    <w:rsid w:val="001F621F"/>
    <w:rsid w:val="001F7063"/>
    <w:rsid w:val="00202B04"/>
    <w:rsid w:val="00204936"/>
    <w:rsid w:val="002100EE"/>
    <w:rsid w:val="0021028C"/>
    <w:rsid w:val="002102C1"/>
    <w:rsid w:val="00210B85"/>
    <w:rsid w:val="0021112D"/>
    <w:rsid w:val="00213D93"/>
    <w:rsid w:val="00216623"/>
    <w:rsid w:val="0021716E"/>
    <w:rsid w:val="00217BB7"/>
    <w:rsid w:val="00217C52"/>
    <w:rsid w:val="00222097"/>
    <w:rsid w:val="0022247D"/>
    <w:rsid w:val="00224123"/>
    <w:rsid w:val="002242E9"/>
    <w:rsid w:val="00224C03"/>
    <w:rsid w:val="00225B20"/>
    <w:rsid w:val="0022600F"/>
    <w:rsid w:val="0023134A"/>
    <w:rsid w:val="0023409B"/>
    <w:rsid w:val="00234938"/>
    <w:rsid w:val="002359BA"/>
    <w:rsid w:val="002403BD"/>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202E"/>
    <w:rsid w:val="00263626"/>
    <w:rsid w:val="002643C1"/>
    <w:rsid w:val="00264E4D"/>
    <w:rsid w:val="00266874"/>
    <w:rsid w:val="002675DD"/>
    <w:rsid w:val="0026771D"/>
    <w:rsid w:val="00267879"/>
    <w:rsid w:val="00267A7A"/>
    <w:rsid w:val="0027055C"/>
    <w:rsid w:val="00270A24"/>
    <w:rsid w:val="0027104F"/>
    <w:rsid w:val="002715DC"/>
    <w:rsid w:val="00271D47"/>
    <w:rsid w:val="002721EA"/>
    <w:rsid w:val="002721EB"/>
    <w:rsid w:val="0027374C"/>
    <w:rsid w:val="00273E4B"/>
    <w:rsid w:val="00274D2E"/>
    <w:rsid w:val="002751CA"/>
    <w:rsid w:val="00275650"/>
    <w:rsid w:val="0027647E"/>
    <w:rsid w:val="00280E8A"/>
    <w:rsid w:val="00280EF2"/>
    <w:rsid w:val="00282D6C"/>
    <w:rsid w:val="00284BED"/>
    <w:rsid w:val="00285164"/>
    <w:rsid w:val="002852D2"/>
    <w:rsid w:val="00286817"/>
    <w:rsid w:val="00287AF0"/>
    <w:rsid w:val="0029049C"/>
    <w:rsid w:val="00291719"/>
    <w:rsid w:val="00292FD0"/>
    <w:rsid w:val="00294C7D"/>
    <w:rsid w:val="00294F24"/>
    <w:rsid w:val="002961D0"/>
    <w:rsid w:val="00296B81"/>
    <w:rsid w:val="002A1716"/>
    <w:rsid w:val="002A4956"/>
    <w:rsid w:val="002A49D9"/>
    <w:rsid w:val="002A53D3"/>
    <w:rsid w:val="002A5B12"/>
    <w:rsid w:val="002A5F69"/>
    <w:rsid w:val="002A6710"/>
    <w:rsid w:val="002B22D8"/>
    <w:rsid w:val="002B2623"/>
    <w:rsid w:val="002B3033"/>
    <w:rsid w:val="002B41B5"/>
    <w:rsid w:val="002B4A8F"/>
    <w:rsid w:val="002B4A90"/>
    <w:rsid w:val="002B584B"/>
    <w:rsid w:val="002B7904"/>
    <w:rsid w:val="002C2E6E"/>
    <w:rsid w:val="002C3467"/>
    <w:rsid w:val="002C379A"/>
    <w:rsid w:val="002C4F10"/>
    <w:rsid w:val="002C55A1"/>
    <w:rsid w:val="002C74A0"/>
    <w:rsid w:val="002C7B0A"/>
    <w:rsid w:val="002D187B"/>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10FC"/>
    <w:rsid w:val="00304F39"/>
    <w:rsid w:val="00305514"/>
    <w:rsid w:val="00310AF9"/>
    <w:rsid w:val="00313C77"/>
    <w:rsid w:val="00315742"/>
    <w:rsid w:val="003163B3"/>
    <w:rsid w:val="00316646"/>
    <w:rsid w:val="0032020F"/>
    <w:rsid w:val="00321E88"/>
    <w:rsid w:val="00323498"/>
    <w:rsid w:val="00324A6C"/>
    <w:rsid w:val="00326866"/>
    <w:rsid w:val="00330983"/>
    <w:rsid w:val="00330CD1"/>
    <w:rsid w:val="003311A4"/>
    <w:rsid w:val="003320DA"/>
    <w:rsid w:val="003342C4"/>
    <w:rsid w:val="00335FC7"/>
    <w:rsid w:val="00341DEB"/>
    <w:rsid w:val="00343835"/>
    <w:rsid w:val="00345665"/>
    <w:rsid w:val="00345738"/>
    <w:rsid w:val="00345CA6"/>
    <w:rsid w:val="00346A3D"/>
    <w:rsid w:val="00350735"/>
    <w:rsid w:val="00350C20"/>
    <w:rsid w:val="0035128B"/>
    <w:rsid w:val="00352980"/>
    <w:rsid w:val="00353641"/>
    <w:rsid w:val="00353902"/>
    <w:rsid w:val="00353F72"/>
    <w:rsid w:val="003548FA"/>
    <w:rsid w:val="0035504F"/>
    <w:rsid w:val="00357147"/>
    <w:rsid w:val="00357A8C"/>
    <w:rsid w:val="00361427"/>
    <w:rsid w:val="0036401F"/>
    <w:rsid w:val="0036458B"/>
    <w:rsid w:val="00365129"/>
    <w:rsid w:val="00365572"/>
    <w:rsid w:val="0036674D"/>
    <w:rsid w:val="00367C43"/>
    <w:rsid w:val="00367D87"/>
    <w:rsid w:val="0037099A"/>
    <w:rsid w:val="003713EA"/>
    <w:rsid w:val="00371D2F"/>
    <w:rsid w:val="003723D0"/>
    <w:rsid w:val="00376511"/>
    <w:rsid w:val="00376EC6"/>
    <w:rsid w:val="00381919"/>
    <w:rsid w:val="00384161"/>
    <w:rsid w:val="00385582"/>
    <w:rsid w:val="00387469"/>
    <w:rsid w:val="00387610"/>
    <w:rsid w:val="003910F4"/>
    <w:rsid w:val="00391272"/>
    <w:rsid w:val="0039349B"/>
    <w:rsid w:val="003936D9"/>
    <w:rsid w:val="00393B4B"/>
    <w:rsid w:val="003946A3"/>
    <w:rsid w:val="00395D07"/>
    <w:rsid w:val="003973D3"/>
    <w:rsid w:val="003A0892"/>
    <w:rsid w:val="003A3268"/>
    <w:rsid w:val="003A38D2"/>
    <w:rsid w:val="003A449E"/>
    <w:rsid w:val="003A4DCE"/>
    <w:rsid w:val="003A60F5"/>
    <w:rsid w:val="003A71F3"/>
    <w:rsid w:val="003B12EB"/>
    <w:rsid w:val="003B1414"/>
    <w:rsid w:val="003B19F5"/>
    <w:rsid w:val="003B3974"/>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B3F"/>
    <w:rsid w:val="003D4970"/>
    <w:rsid w:val="003D4B1F"/>
    <w:rsid w:val="003D4EEA"/>
    <w:rsid w:val="003D7C02"/>
    <w:rsid w:val="003E057A"/>
    <w:rsid w:val="003E2E06"/>
    <w:rsid w:val="003E3B72"/>
    <w:rsid w:val="003E4958"/>
    <w:rsid w:val="003E5956"/>
    <w:rsid w:val="003E5FCA"/>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10C93"/>
    <w:rsid w:val="00411129"/>
    <w:rsid w:val="00411808"/>
    <w:rsid w:val="00411B4A"/>
    <w:rsid w:val="00412227"/>
    <w:rsid w:val="00413E74"/>
    <w:rsid w:val="00414C02"/>
    <w:rsid w:val="00414E8D"/>
    <w:rsid w:val="00415ECA"/>
    <w:rsid w:val="00417567"/>
    <w:rsid w:val="0042060D"/>
    <w:rsid w:val="00422CE5"/>
    <w:rsid w:val="004230F0"/>
    <w:rsid w:val="00424B7E"/>
    <w:rsid w:val="00424C7F"/>
    <w:rsid w:val="00425964"/>
    <w:rsid w:val="00425E9A"/>
    <w:rsid w:val="00425EAC"/>
    <w:rsid w:val="00426DF4"/>
    <w:rsid w:val="004271FB"/>
    <w:rsid w:val="00427554"/>
    <w:rsid w:val="004279BA"/>
    <w:rsid w:val="00430625"/>
    <w:rsid w:val="00431305"/>
    <w:rsid w:val="00435724"/>
    <w:rsid w:val="00437CC6"/>
    <w:rsid w:val="004411B6"/>
    <w:rsid w:val="0044540C"/>
    <w:rsid w:val="004461B1"/>
    <w:rsid w:val="0045162B"/>
    <w:rsid w:val="00455E2F"/>
    <w:rsid w:val="004565A2"/>
    <w:rsid w:val="00456B55"/>
    <w:rsid w:val="004578A3"/>
    <w:rsid w:val="00461073"/>
    <w:rsid w:val="0046141C"/>
    <w:rsid w:val="00461CEC"/>
    <w:rsid w:val="00462878"/>
    <w:rsid w:val="00465B10"/>
    <w:rsid w:val="00467E85"/>
    <w:rsid w:val="00471DDC"/>
    <w:rsid w:val="004723ED"/>
    <w:rsid w:val="00472EFD"/>
    <w:rsid w:val="00474E32"/>
    <w:rsid w:val="00475018"/>
    <w:rsid w:val="004762C3"/>
    <w:rsid w:val="00476F67"/>
    <w:rsid w:val="004813C8"/>
    <w:rsid w:val="00483C95"/>
    <w:rsid w:val="00484C95"/>
    <w:rsid w:val="00484E73"/>
    <w:rsid w:val="004867A2"/>
    <w:rsid w:val="004920D9"/>
    <w:rsid w:val="004936C1"/>
    <w:rsid w:val="004953EC"/>
    <w:rsid w:val="00497786"/>
    <w:rsid w:val="004A0C77"/>
    <w:rsid w:val="004A0DE1"/>
    <w:rsid w:val="004A1CAA"/>
    <w:rsid w:val="004A2410"/>
    <w:rsid w:val="004A27AC"/>
    <w:rsid w:val="004A339B"/>
    <w:rsid w:val="004A409E"/>
    <w:rsid w:val="004A647A"/>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5E68"/>
    <w:rsid w:val="004D5F4E"/>
    <w:rsid w:val="004D78BE"/>
    <w:rsid w:val="004D78DC"/>
    <w:rsid w:val="004D7C8D"/>
    <w:rsid w:val="004E0E79"/>
    <w:rsid w:val="004E1560"/>
    <w:rsid w:val="004E394B"/>
    <w:rsid w:val="004E4D65"/>
    <w:rsid w:val="004E536A"/>
    <w:rsid w:val="004E55DB"/>
    <w:rsid w:val="004E597F"/>
    <w:rsid w:val="004E5FB3"/>
    <w:rsid w:val="004E785F"/>
    <w:rsid w:val="004E799A"/>
    <w:rsid w:val="004F6EBD"/>
    <w:rsid w:val="004F6EBF"/>
    <w:rsid w:val="004F7DB3"/>
    <w:rsid w:val="005009DF"/>
    <w:rsid w:val="00502B2F"/>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A95"/>
    <w:rsid w:val="00534316"/>
    <w:rsid w:val="005400B8"/>
    <w:rsid w:val="005404B1"/>
    <w:rsid w:val="00540CD4"/>
    <w:rsid w:val="00540FC8"/>
    <w:rsid w:val="0054197A"/>
    <w:rsid w:val="00541DC8"/>
    <w:rsid w:val="00542951"/>
    <w:rsid w:val="00542AD0"/>
    <w:rsid w:val="005460D5"/>
    <w:rsid w:val="0054653F"/>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354C"/>
    <w:rsid w:val="00573AE3"/>
    <w:rsid w:val="00573F6E"/>
    <w:rsid w:val="005800A7"/>
    <w:rsid w:val="00580318"/>
    <w:rsid w:val="0058043F"/>
    <w:rsid w:val="005814FE"/>
    <w:rsid w:val="00584FEF"/>
    <w:rsid w:val="00585AC6"/>
    <w:rsid w:val="005902D9"/>
    <w:rsid w:val="005903BA"/>
    <w:rsid w:val="00590AEC"/>
    <w:rsid w:val="00590CBA"/>
    <w:rsid w:val="00590FD2"/>
    <w:rsid w:val="0059116B"/>
    <w:rsid w:val="00592915"/>
    <w:rsid w:val="00592F20"/>
    <w:rsid w:val="00593ABB"/>
    <w:rsid w:val="00596775"/>
    <w:rsid w:val="00596AB7"/>
    <w:rsid w:val="00596B8A"/>
    <w:rsid w:val="00597A5C"/>
    <w:rsid w:val="005A05B0"/>
    <w:rsid w:val="005A1D1B"/>
    <w:rsid w:val="005A1EA7"/>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321"/>
    <w:rsid w:val="005D3C89"/>
    <w:rsid w:val="005D3F14"/>
    <w:rsid w:val="005D416B"/>
    <w:rsid w:val="005D5230"/>
    <w:rsid w:val="005D613B"/>
    <w:rsid w:val="005D6CDD"/>
    <w:rsid w:val="005D703E"/>
    <w:rsid w:val="005E0565"/>
    <w:rsid w:val="005E2C4E"/>
    <w:rsid w:val="005E3725"/>
    <w:rsid w:val="005E43E1"/>
    <w:rsid w:val="005E46D2"/>
    <w:rsid w:val="005E47D1"/>
    <w:rsid w:val="005E7BF9"/>
    <w:rsid w:val="005F176A"/>
    <w:rsid w:val="005F2471"/>
    <w:rsid w:val="005F3397"/>
    <w:rsid w:val="005F79B8"/>
    <w:rsid w:val="00600203"/>
    <w:rsid w:val="0060026B"/>
    <w:rsid w:val="00600954"/>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F1F"/>
    <w:rsid w:val="00691DCC"/>
    <w:rsid w:val="00691DE8"/>
    <w:rsid w:val="00692804"/>
    <w:rsid w:val="00693408"/>
    <w:rsid w:val="006940FB"/>
    <w:rsid w:val="00694CA3"/>
    <w:rsid w:val="006A04D1"/>
    <w:rsid w:val="006A100B"/>
    <w:rsid w:val="006A1E14"/>
    <w:rsid w:val="006A20C7"/>
    <w:rsid w:val="006A31F9"/>
    <w:rsid w:val="006A3285"/>
    <w:rsid w:val="006A3B70"/>
    <w:rsid w:val="006B02C3"/>
    <w:rsid w:val="006B04E7"/>
    <w:rsid w:val="006B1116"/>
    <w:rsid w:val="006B14A9"/>
    <w:rsid w:val="006B2362"/>
    <w:rsid w:val="006B2496"/>
    <w:rsid w:val="006B2878"/>
    <w:rsid w:val="006B72DE"/>
    <w:rsid w:val="006C0492"/>
    <w:rsid w:val="006C0660"/>
    <w:rsid w:val="006C5639"/>
    <w:rsid w:val="006C57B9"/>
    <w:rsid w:val="006C5FC1"/>
    <w:rsid w:val="006C6CD3"/>
    <w:rsid w:val="006D01FB"/>
    <w:rsid w:val="006D04C7"/>
    <w:rsid w:val="006D1E93"/>
    <w:rsid w:val="006D266F"/>
    <w:rsid w:val="006D44E1"/>
    <w:rsid w:val="006D4646"/>
    <w:rsid w:val="006D4B87"/>
    <w:rsid w:val="006E08B4"/>
    <w:rsid w:val="006E17F4"/>
    <w:rsid w:val="006E20AE"/>
    <w:rsid w:val="006E21FA"/>
    <w:rsid w:val="006E44C4"/>
    <w:rsid w:val="006E5711"/>
    <w:rsid w:val="006E6440"/>
    <w:rsid w:val="006E6943"/>
    <w:rsid w:val="006F0D60"/>
    <w:rsid w:val="006F0FB7"/>
    <w:rsid w:val="006F12C0"/>
    <w:rsid w:val="006F1C10"/>
    <w:rsid w:val="006F1E96"/>
    <w:rsid w:val="006F2100"/>
    <w:rsid w:val="006F2536"/>
    <w:rsid w:val="006F40DA"/>
    <w:rsid w:val="006F45C3"/>
    <w:rsid w:val="006F4684"/>
    <w:rsid w:val="006F4ADA"/>
    <w:rsid w:val="006F4CFF"/>
    <w:rsid w:val="006F58B5"/>
    <w:rsid w:val="006F7A4D"/>
    <w:rsid w:val="00700D37"/>
    <w:rsid w:val="00701453"/>
    <w:rsid w:val="00702B76"/>
    <w:rsid w:val="00703129"/>
    <w:rsid w:val="007036D1"/>
    <w:rsid w:val="00704BF0"/>
    <w:rsid w:val="00704E5D"/>
    <w:rsid w:val="00705739"/>
    <w:rsid w:val="0071020C"/>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3972"/>
    <w:rsid w:val="00734B38"/>
    <w:rsid w:val="00736D88"/>
    <w:rsid w:val="00736DD2"/>
    <w:rsid w:val="00737E81"/>
    <w:rsid w:val="00746552"/>
    <w:rsid w:val="0074681C"/>
    <w:rsid w:val="00746EC2"/>
    <w:rsid w:val="007500C9"/>
    <w:rsid w:val="00750799"/>
    <w:rsid w:val="0075646B"/>
    <w:rsid w:val="007639FE"/>
    <w:rsid w:val="007668C7"/>
    <w:rsid w:val="0077242A"/>
    <w:rsid w:val="00773820"/>
    <w:rsid w:val="00775B04"/>
    <w:rsid w:val="007766AB"/>
    <w:rsid w:val="0077783D"/>
    <w:rsid w:val="0077784C"/>
    <w:rsid w:val="00784443"/>
    <w:rsid w:val="007865BE"/>
    <w:rsid w:val="00786835"/>
    <w:rsid w:val="007934A4"/>
    <w:rsid w:val="007959AC"/>
    <w:rsid w:val="00795D5F"/>
    <w:rsid w:val="007978BD"/>
    <w:rsid w:val="007A017C"/>
    <w:rsid w:val="007A0212"/>
    <w:rsid w:val="007A1DCC"/>
    <w:rsid w:val="007A20E0"/>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D1E7C"/>
    <w:rsid w:val="007D26AE"/>
    <w:rsid w:val="007D2884"/>
    <w:rsid w:val="007D4460"/>
    <w:rsid w:val="007D5D58"/>
    <w:rsid w:val="007D6D94"/>
    <w:rsid w:val="007D7829"/>
    <w:rsid w:val="007E11F0"/>
    <w:rsid w:val="007E1763"/>
    <w:rsid w:val="007E5732"/>
    <w:rsid w:val="007F1567"/>
    <w:rsid w:val="007F178B"/>
    <w:rsid w:val="007F4D69"/>
    <w:rsid w:val="007F63FD"/>
    <w:rsid w:val="007F7177"/>
    <w:rsid w:val="007F7E38"/>
    <w:rsid w:val="0080150E"/>
    <w:rsid w:val="008016A9"/>
    <w:rsid w:val="008019D8"/>
    <w:rsid w:val="008023B5"/>
    <w:rsid w:val="008061D9"/>
    <w:rsid w:val="00810CCE"/>
    <w:rsid w:val="0081156A"/>
    <w:rsid w:val="008126B2"/>
    <w:rsid w:val="00815A2E"/>
    <w:rsid w:val="0082283E"/>
    <w:rsid w:val="008245E8"/>
    <w:rsid w:val="00827398"/>
    <w:rsid w:val="00827587"/>
    <w:rsid w:val="0083120E"/>
    <w:rsid w:val="008314C9"/>
    <w:rsid w:val="008317DD"/>
    <w:rsid w:val="00836145"/>
    <w:rsid w:val="008374AB"/>
    <w:rsid w:val="00842974"/>
    <w:rsid w:val="008441F1"/>
    <w:rsid w:val="00844437"/>
    <w:rsid w:val="008445EC"/>
    <w:rsid w:val="00846DD2"/>
    <w:rsid w:val="008472DB"/>
    <w:rsid w:val="0085220F"/>
    <w:rsid w:val="00852264"/>
    <w:rsid w:val="0085249A"/>
    <w:rsid w:val="0085550A"/>
    <w:rsid w:val="00856BCE"/>
    <w:rsid w:val="00856FB7"/>
    <w:rsid w:val="008616EF"/>
    <w:rsid w:val="00862392"/>
    <w:rsid w:val="0086349D"/>
    <w:rsid w:val="00863C25"/>
    <w:rsid w:val="00866132"/>
    <w:rsid w:val="00867620"/>
    <w:rsid w:val="00871AD2"/>
    <w:rsid w:val="00872407"/>
    <w:rsid w:val="00872977"/>
    <w:rsid w:val="00873394"/>
    <w:rsid w:val="008735D0"/>
    <w:rsid w:val="00874792"/>
    <w:rsid w:val="00875A42"/>
    <w:rsid w:val="008767A3"/>
    <w:rsid w:val="00876DB5"/>
    <w:rsid w:val="00881AFA"/>
    <w:rsid w:val="008822D3"/>
    <w:rsid w:val="008825BA"/>
    <w:rsid w:val="0088418B"/>
    <w:rsid w:val="008841F2"/>
    <w:rsid w:val="0088447A"/>
    <w:rsid w:val="008851F5"/>
    <w:rsid w:val="008871F9"/>
    <w:rsid w:val="008904A8"/>
    <w:rsid w:val="00890AA4"/>
    <w:rsid w:val="00891FC7"/>
    <w:rsid w:val="00894079"/>
    <w:rsid w:val="0089516C"/>
    <w:rsid w:val="00896022"/>
    <w:rsid w:val="008A1F1F"/>
    <w:rsid w:val="008A2E8A"/>
    <w:rsid w:val="008A3AA4"/>
    <w:rsid w:val="008A73BB"/>
    <w:rsid w:val="008B0081"/>
    <w:rsid w:val="008B2B1A"/>
    <w:rsid w:val="008B49E8"/>
    <w:rsid w:val="008C0060"/>
    <w:rsid w:val="008C051A"/>
    <w:rsid w:val="008C385B"/>
    <w:rsid w:val="008C4523"/>
    <w:rsid w:val="008C510F"/>
    <w:rsid w:val="008C6D40"/>
    <w:rsid w:val="008D01B0"/>
    <w:rsid w:val="008D2338"/>
    <w:rsid w:val="008D324D"/>
    <w:rsid w:val="008D4826"/>
    <w:rsid w:val="008E0F0D"/>
    <w:rsid w:val="008E19C4"/>
    <w:rsid w:val="008E24B3"/>
    <w:rsid w:val="008E2A16"/>
    <w:rsid w:val="008E3634"/>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32FC"/>
    <w:rsid w:val="00944372"/>
    <w:rsid w:val="00946356"/>
    <w:rsid w:val="009469B3"/>
    <w:rsid w:val="009503E6"/>
    <w:rsid w:val="00950706"/>
    <w:rsid w:val="0095156E"/>
    <w:rsid w:val="00955357"/>
    <w:rsid w:val="0096017E"/>
    <w:rsid w:val="00962BAF"/>
    <w:rsid w:val="00963556"/>
    <w:rsid w:val="00963E7F"/>
    <w:rsid w:val="00966177"/>
    <w:rsid w:val="00966820"/>
    <w:rsid w:val="00967C4A"/>
    <w:rsid w:val="009718B2"/>
    <w:rsid w:val="009729CB"/>
    <w:rsid w:val="00974355"/>
    <w:rsid w:val="00976195"/>
    <w:rsid w:val="00980037"/>
    <w:rsid w:val="009810AB"/>
    <w:rsid w:val="009820C8"/>
    <w:rsid w:val="00983B43"/>
    <w:rsid w:val="009840EA"/>
    <w:rsid w:val="009862E6"/>
    <w:rsid w:val="00986D0A"/>
    <w:rsid w:val="0099682B"/>
    <w:rsid w:val="00996D2A"/>
    <w:rsid w:val="009A0479"/>
    <w:rsid w:val="009A4D8A"/>
    <w:rsid w:val="009A4D8E"/>
    <w:rsid w:val="009A5EF9"/>
    <w:rsid w:val="009A62D6"/>
    <w:rsid w:val="009B090B"/>
    <w:rsid w:val="009B230B"/>
    <w:rsid w:val="009B2481"/>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900"/>
    <w:rsid w:val="009D1D3E"/>
    <w:rsid w:val="009D2FCA"/>
    <w:rsid w:val="009D319F"/>
    <w:rsid w:val="009D3CFC"/>
    <w:rsid w:val="009D3EAC"/>
    <w:rsid w:val="009D5376"/>
    <w:rsid w:val="009E003B"/>
    <w:rsid w:val="009E1758"/>
    <w:rsid w:val="009E23B9"/>
    <w:rsid w:val="009E486A"/>
    <w:rsid w:val="009E6604"/>
    <w:rsid w:val="009E669C"/>
    <w:rsid w:val="009E737D"/>
    <w:rsid w:val="009E7B28"/>
    <w:rsid w:val="009F0767"/>
    <w:rsid w:val="009F210E"/>
    <w:rsid w:val="009F4E1D"/>
    <w:rsid w:val="00A01854"/>
    <w:rsid w:val="00A03732"/>
    <w:rsid w:val="00A03977"/>
    <w:rsid w:val="00A067DF"/>
    <w:rsid w:val="00A1049F"/>
    <w:rsid w:val="00A13898"/>
    <w:rsid w:val="00A13B6A"/>
    <w:rsid w:val="00A14BB7"/>
    <w:rsid w:val="00A15FC4"/>
    <w:rsid w:val="00A1744B"/>
    <w:rsid w:val="00A21252"/>
    <w:rsid w:val="00A223C3"/>
    <w:rsid w:val="00A2272B"/>
    <w:rsid w:val="00A23FAB"/>
    <w:rsid w:val="00A24759"/>
    <w:rsid w:val="00A26FF7"/>
    <w:rsid w:val="00A302BE"/>
    <w:rsid w:val="00A32ABB"/>
    <w:rsid w:val="00A33C45"/>
    <w:rsid w:val="00A35EFE"/>
    <w:rsid w:val="00A36917"/>
    <w:rsid w:val="00A404F8"/>
    <w:rsid w:val="00A4334D"/>
    <w:rsid w:val="00A4349B"/>
    <w:rsid w:val="00A445DC"/>
    <w:rsid w:val="00A44642"/>
    <w:rsid w:val="00A44BEA"/>
    <w:rsid w:val="00A461FB"/>
    <w:rsid w:val="00A46FC2"/>
    <w:rsid w:val="00A474F0"/>
    <w:rsid w:val="00A5022A"/>
    <w:rsid w:val="00A509A5"/>
    <w:rsid w:val="00A52BDC"/>
    <w:rsid w:val="00A531FE"/>
    <w:rsid w:val="00A53572"/>
    <w:rsid w:val="00A55BAF"/>
    <w:rsid w:val="00A55F94"/>
    <w:rsid w:val="00A5604B"/>
    <w:rsid w:val="00A6108F"/>
    <w:rsid w:val="00A6208F"/>
    <w:rsid w:val="00A6653E"/>
    <w:rsid w:val="00A67738"/>
    <w:rsid w:val="00A70B9A"/>
    <w:rsid w:val="00A711C6"/>
    <w:rsid w:val="00A74B5E"/>
    <w:rsid w:val="00A752CC"/>
    <w:rsid w:val="00A76120"/>
    <w:rsid w:val="00A76816"/>
    <w:rsid w:val="00A80DB2"/>
    <w:rsid w:val="00A81F90"/>
    <w:rsid w:val="00A820EE"/>
    <w:rsid w:val="00A84863"/>
    <w:rsid w:val="00A84B17"/>
    <w:rsid w:val="00A84CC9"/>
    <w:rsid w:val="00A868E4"/>
    <w:rsid w:val="00A9006F"/>
    <w:rsid w:val="00A95542"/>
    <w:rsid w:val="00A95D95"/>
    <w:rsid w:val="00A965EE"/>
    <w:rsid w:val="00A977EC"/>
    <w:rsid w:val="00AA1382"/>
    <w:rsid w:val="00AA2988"/>
    <w:rsid w:val="00AA3FD1"/>
    <w:rsid w:val="00AA4366"/>
    <w:rsid w:val="00AB00EE"/>
    <w:rsid w:val="00AB0FA7"/>
    <w:rsid w:val="00AB4F14"/>
    <w:rsid w:val="00AB5ED3"/>
    <w:rsid w:val="00AB6B0C"/>
    <w:rsid w:val="00AB6F5F"/>
    <w:rsid w:val="00AB70CD"/>
    <w:rsid w:val="00AC0E59"/>
    <w:rsid w:val="00AC2AC3"/>
    <w:rsid w:val="00AC2E36"/>
    <w:rsid w:val="00AC419C"/>
    <w:rsid w:val="00AC48B3"/>
    <w:rsid w:val="00AC74B3"/>
    <w:rsid w:val="00AC7AC9"/>
    <w:rsid w:val="00AD669F"/>
    <w:rsid w:val="00AD6A5A"/>
    <w:rsid w:val="00AE0D3F"/>
    <w:rsid w:val="00AE1920"/>
    <w:rsid w:val="00AE222F"/>
    <w:rsid w:val="00AE3AA5"/>
    <w:rsid w:val="00AE3FE0"/>
    <w:rsid w:val="00AE5B85"/>
    <w:rsid w:val="00AE7442"/>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7D61"/>
    <w:rsid w:val="00B109B4"/>
    <w:rsid w:val="00B11E3D"/>
    <w:rsid w:val="00B13192"/>
    <w:rsid w:val="00B13480"/>
    <w:rsid w:val="00B13E62"/>
    <w:rsid w:val="00B14C52"/>
    <w:rsid w:val="00B1621A"/>
    <w:rsid w:val="00B170A4"/>
    <w:rsid w:val="00B200AA"/>
    <w:rsid w:val="00B217E7"/>
    <w:rsid w:val="00B22E24"/>
    <w:rsid w:val="00B25FED"/>
    <w:rsid w:val="00B26423"/>
    <w:rsid w:val="00B26EE8"/>
    <w:rsid w:val="00B278D6"/>
    <w:rsid w:val="00B310F6"/>
    <w:rsid w:val="00B31E79"/>
    <w:rsid w:val="00B3240D"/>
    <w:rsid w:val="00B33CC7"/>
    <w:rsid w:val="00B35068"/>
    <w:rsid w:val="00B3571F"/>
    <w:rsid w:val="00B37691"/>
    <w:rsid w:val="00B406C3"/>
    <w:rsid w:val="00B4157B"/>
    <w:rsid w:val="00B42052"/>
    <w:rsid w:val="00B4260F"/>
    <w:rsid w:val="00B45B43"/>
    <w:rsid w:val="00B478C3"/>
    <w:rsid w:val="00B53AF5"/>
    <w:rsid w:val="00B543FF"/>
    <w:rsid w:val="00B54D6B"/>
    <w:rsid w:val="00B56F0F"/>
    <w:rsid w:val="00B57C64"/>
    <w:rsid w:val="00B60B49"/>
    <w:rsid w:val="00B60FC9"/>
    <w:rsid w:val="00B61348"/>
    <w:rsid w:val="00B6263F"/>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18F"/>
    <w:rsid w:val="00B84D1F"/>
    <w:rsid w:val="00B85945"/>
    <w:rsid w:val="00B874B4"/>
    <w:rsid w:val="00B9295A"/>
    <w:rsid w:val="00B92A49"/>
    <w:rsid w:val="00B93219"/>
    <w:rsid w:val="00B9479F"/>
    <w:rsid w:val="00B94E1F"/>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5E2F"/>
    <w:rsid w:val="00BC619F"/>
    <w:rsid w:val="00BC6FCC"/>
    <w:rsid w:val="00BC75AB"/>
    <w:rsid w:val="00BD113C"/>
    <w:rsid w:val="00BD1512"/>
    <w:rsid w:val="00BD1DB9"/>
    <w:rsid w:val="00BD360F"/>
    <w:rsid w:val="00BE028E"/>
    <w:rsid w:val="00BE05E0"/>
    <w:rsid w:val="00BE07A9"/>
    <w:rsid w:val="00BE2990"/>
    <w:rsid w:val="00BE2AFF"/>
    <w:rsid w:val="00BE3732"/>
    <w:rsid w:val="00BE3E23"/>
    <w:rsid w:val="00BE4E28"/>
    <w:rsid w:val="00BF21D2"/>
    <w:rsid w:val="00BF2867"/>
    <w:rsid w:val="00BF42D6"/>
    <w:rsid w:val="00BF5230"/>
    <w:rsid w:val="00C0297E"/>
    <w:rsid w:val="00C0422E"/>
    <w:rsid w:val="00C0533E"/>
    <w:rsid w:val="00C06000"/>
    <w:rsid w:val="00C06F4E"/>
    <w:rsid w:val="00C0719C"/>
    <w:rsid w:val="00C076D0"/>
    <w:rsid w:val="00C108CB"/>
    <w:rsid w:val="00C1090C"/>
    <w:rsid w:val="00C11E4B"/>
    <w:rsid w:val="00C12534"/>
    <w:rsid w:val="00C130CD"/>
    <w:rsid w:val="00C15F5E"/>
    <w:rsid w:val="00C2198D"/>
    <w:rsid w:val="00C23ACC"/>
    <w:rsid w:val="00C240C8"/>
    <w:rsid w:val="00C2565E"/>
    <w:rsid w:val="00C2583E"/>
    <w:rsid w:val="00C25FA2"/>
    <w:rsid w:val="00C26227"/>
    <w:rsid w:val="00C26513"/>
    <w:rsid w:val="00C27691"/>
    <w:rsid w:val="00C304F8"/>
    <w:rsid w:val="00C305E6"/>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6019B"/>
    <w:rsid w:val="00C6160A"/>
    <w:rsid w:val="00C626A8"/>
    <w:rsid w:val="00C646F8"/>
    <w:rsid w:val="00C64AEC"/>
    <w:rsid w:val="00C65E06"/>
    <w:rsid w:val="00C70C3D"/>
    <w:rsid w:val="00C74645"/>
    <w:rsid w:val="00C74C20"/>
    <w:rsid w:val="00C80D3A"/>
    <w:rsid w:val="00C812F4"/>
    <w:rsid w:val="00C834F5"/>
    <w:rsid w:val="00C83782"/>
    <w:rsid w:val="00C84064"/>
    <w:rsid w:val="00C8434B"/>
    <w:rsid w:val="00C84E04"/>
    <w:rsid w:val="00C910BE"/>
    <w:rsid w:val="00C922BE"/>
    <w:rsid w:val="00C927E8"/>
    <w:rsid w:val="00C95A5E"/>
    <w:rsid w:val="00CA0B88"/>
    <w:rsid w:val="00CA117F"/>
    <w:rsid w:val="00CA4BA3"/>
    <w:rsid w:val="00CA5CA6"/>
    <w:rsid w:val="00CA6B30"/>
    <w:rsid w:val="00CA7415"/>
    <w:rsid w:val="00CB00FC"/>
    <w:rsid w:val="00CB0A17"/>
    <w:rsid w:val="00CB22E8"/>
    <w:rsid w:val="00CB265C"/>
    <w:rsid w:val="00CB5EA9"/>
    <w:rsid w:val="00CB7A07"/>
    <w:rsid w:val="00CC1E99"/>
    <w:rsid w:val="00CC2FE9"/>
    <w:rsid w:val="00CC3B89"/>
    <w:rsid w:val="00CC4805"/>
    <w:rsid w:val="00CC4D4D"/>
    <w:rsid w:val="00CC54ED"/>
    <w:rsid w:val="00CC59BB"/>
    <w:rsid w:val="00CC5B6E"/>
    <w:rsid w:val="00CC6419"/>
    <w:rsid w:val="00CC7CFC"/>
    <w:rsid w:val="00CC7E14"/>
    <w:rsid w:val="00CD2390"/>
    <w:rsid w:val="00CD2DAB"/>
    <w:rsid w:val="00CD3CC5"/>
    <w:rsid w:val="00CD427E"/>
    <w:rsid w:val="00CD58DD"/>
    <w:rsid w:val="00CD635D"/>
    <w:rsid w:val="00CD6C6D"/>
    <w:rsid w:val="00CD7476"/>
    <w:rsid w:val="00CD7CED"/>
    <w:rsid w:val="00CE03D0"/>
    <w:rsid w:val="00CE04C7"/>
    <w:rsid w:val="00CE1D4C"/>
    <w:rsid w:val="00CE2517"/>
    <w:rsid w:val="00CE531B"/>
    <w:rsid w:val="00CE54C9"/>
    <w:rsid w:val="00CE63C5"/>
    <w:rsid w:val="00CE6549"/>
    <w:rsid w:val="00CE68B5"/>
    <w:rsid w:val="00CF156B"/>
    <w:rsid w:val="00CF1E02"/>
    <w:rsid w:val="00CF3463"/>
    <w:rsid w:val="00CF597A"/>
    <w:rsid w:val="00CF5E0E"/>
    <w:rsid w:val="00CF6238"/>
    <w:rsid w:val="00CF7555"/>
    <w:rsid w:val="00D01464"/>
    <w:rsid w:val="00D05BAA"/>
    <w:rsid w:val="00D05FD7"/>
    <w:rsid w:val="00D06755"/>
    <w:rsid w:val="00D06825"/>
    <w:rsid w:val="00D10469"/>
    <w:rsid w:val="00D132C7"/>
    <w:rsid w:val="00D13329"/>
    <w:rsid w:val="00D13B7A"/>
    <w:rsid w:val="00D1594B"/>
    <w:rsid w:val="00D15AB1"/>
    <w:rsid w:val="00D1709E"/>
    <w:rsid w:val="00D21257"/>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6F79"/>
    <w:rsid w:val="00D41B0D"/>
    <w:rsid w:val="00D41BA9"/>
    <w:rsid w:val="00D42096"/>
    <w:rsid w:val="00D42662"/>
    <w:rsid w:val="00D43B99"/>
    <w:rsid w:val="00D43DF6"/>
    <w:rsid w:val="00D456DF"/>
    <w:rsid w:val="00D460CD"/>
    <w:rsid w:val="00D475E4"/>
    <w:rsid w:val="00D612C2"/>
    <w:rsid w:val="00D62658"/>
    <w:rsid w:val="00D62CCE"/>
    <w:rsid w:val="00D651BE"/>
    <w:rsid w:val="00D65E0E"/>
    <w:rsid w:val="00D71F4F"/>
    <w:rsid w:val="00D73A32"/>
    <w:rsid w:val="00D7434D"/>
    <w:rsid w:val="00D745E0"/>
    <w:rsid w:val="00D748DF"/>
    <w:rsid w:val="00D7538B"/>
    <w:rsid w:val="00D76AA3"/>
    <w:rsid w:val="00D80604"/>
    <w:rsid w:val="00D85A7D"/>
    <w:rsid w:val="00D90830"/>
    <w:rsid w:val="00D91C0D"/>
    <w:rsid w:val="00D927C3"/>
    <w:rsid w:val="00D92924"/>
    <w:rsid w:val="00D93603"/>
    <w:rsid w:val="00D9612C"/>
    <w:rsid w:val="00DA0765"/>
    <w:rsid w:val="00DA086B"/>
    <w:rsid w:val="00DA419D"/>
    <w:rsid w:val="00DA5148"/>
    <w:rsid w:val="00DA7E05"/>
    <w:rsid w:val="00DB1B1D"/>
    <w:rsid w:val="00DB2F2C"/>
    <w:rsid w:val="00DB30F7"/>
    <w:rsid w:val="00DB33D6"/>
    <w:rsid w:val="00DB354C"/>
    <w:rsid w:val="00DB4041"/>
    <w:rsid w:val="00DB4794"/>
    <w:rsid w:val="00DB499D"/>
    <w:rsid w:val="00DB5C3E"/>
    <w:rsid w:val="00DB628E"/>
    <w:rsid w:val="00DB6C0A"/>
    <w:rsid w:val="00DB7646"/>
    <w:rsid w:val="00DC26BB"/>
    <w:rsid w:val="00DC2B14"/>
    <w:rsid w:val="00DC445E"/>
    <w:rsid w:val="00DC5A7C"/>
    <w:rsid w:val="00DC705F"/>
    <w:rsid w:val="00DD0EA1"/>
    <w:rsid w:val="00DD1446"/>
    <w:rsid w:val="00DD19DE"/>
    <w:rsid w:val="00DD7E0F"/>
    <w:rsid w:val="00DE084F"/>
    <w:rsid w:val="00DE0FC0"/>
    <w:rsid w:val="00DE3DED"/>
    <w:rsid w:val="00DE5DA7"/>
    <w:rsid w:val="00DF06E8"/>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5BAD"/>
    <w:rsid w:val="00E2715D"/>
    <w:rsid w:val="00E3245B"/>
    <w:rsid w:val="00E3317E"/>
    <w:rsid w:val="00E346BD"/>
    <w:rsid w:val="00E366C9"/>
    <w:rsid w:val="00E3707B"/>
    <w:rsid w:val="00E4039B"/>
    <w:rsid w:val="00E42126"/>
    <w:rsid w:val="00E458A2"/>
    <w:rsid w:val="00E45A2C"/>
    <w:rsid w:val="00E505AD"/>
    <w:rsid w:val="00E50685"/>
    <w:rsid w:val="00E50809"/>
    <w:rsid w:val="00E50A33"/>
    <w:rsid w:val="00E50B18"/>
    <w:rsid w:val="00E51D7E"/>
    <w:rsid w:val="00E53FD6"/>
    <w:rsid w:val="00E56F4A"/>
    <w:rsid w:val="00E575C8"/>
    <w:rsid w:val="00E57AD4"/>
    <w:rsid w:val="00E57F6B"/>
    <w:rsid w:val="00E62BF1"/>
    <w:rsid w:val="00E63823"/>
    <w:rsid w:val="00E64313"/>
    <w:rsid w:val="00E65215"/>
    <w:rsid w:val="00E66DD9"/>
    <w:rsid w:val="00E67265"/>
    <w:rsid w:val="00E711A6"/>
    <w:rsid w:val="00E71747"/>
    <w:rsid w:val="00E71FF2"/>
    <w:rsid w:val="00E7203A"/>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7B36"/>
    <w:rsid w:val="00F00609"/>
    <w:rsid w:val="00F0568D"/>
    <w:rsid w:val="00F06A43"/>
    <w:rsid w:val="00F07468"/>
    <w:rsid w:val="00F11E39"/>
    <w:rsid w:val="00F125D9"/>
    <w:rsid w:val="00F1273B"/>
    <w:rsid w:val="00F12C8D"/>
    <w:rsid w:val="00F1403D"/>
    <w:rsid w:val="00F14FA3"/>
    <w:rsid w:val="00F16B83"/>
    <w:rsid w:val="00F20B57"/>
    <w:rsid w:val="00F214AD"/>
    <w:rsid w:val="00F23B70"/>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43F1"/>
    <w:rsid w:val="00F55E71"/>
    <w:rsid w:val="00F56399"/>
    <w:rsid w:val="00F60521"/>
    <w:rsid w:val="00F61ADC"/>
    <w:rsid w:val="00F62900"/>
    <w:rsid w:val="00F66857"/>
    <w:rsid w:val="00F66DE0"/>
    <w:rsid w:val="00F672BF"/>
    <w:rsid w:val="00F701CB"/>
    <w:rsid w:val="00F75745"/>
    <w:rsid w:val="00F7746A"/>
    <w:rsid w:val="00F7750A"/>
    <w:rsid w:val="00F80006"/>
    <w:rsid w:val="00F80084"/>
    <w:rsid w:val="00F810BD"/>
    <w:rsid w:val="00F84D4F"/>
    <w:rsid w:val="00F86257"/>
    <w:rsid w:val="00F87107"/>
    <w:rsid w:val="00F8753E"/>
    <w:rsid w:val="00F90A67"/>
    <w:rsid w:val="00F91324"/>
    <w:rsid w:val="00F92A03"/>
    <w:rsid w:val="00F9483C"/>
    <w:rsid w:val="00F95676"/>
    <w:rsid w:val="00F95721"/>
    <w:rsid w:val="00F959BB"/>
    <w:rsid w:val="00F95F63"/>
    <w:rsid w:val="00F96E79"/>
    <w:rsid w:val="00FA02C4"/>
    <w:rsid w:val="00FA063C"/>
    <w:rsid w:val="00FA07C5"/>
    <w:rsid w:val="00FA095D"/>
    <w:rsid w:val="00FA1FEE"/>
    <w:rsid w:val="00FA34D6"/>
    <w:rsid w:val="00FA3836"/>
    <w:rsid w:val="00FA47FA"/>
    <w:rsid w:val="00FA7B2E"/>
    <w:rsid w:val="00FA7EA5"/>
    <w:rsid w:val="00FB3354"/>
    <w:rsid w:val="00FB4E91"/>
    <w:rsid w:val="00FB5242"/>
    <w:rsid w:val="00FB57E5"/>
    <w:rsid w:val="00FB72F6"/>
    <w:rsid w:val="00FC330F"/>
    <w:rsid w:val="00FC7C13"/>
    <w:rsid w:val="00FD2470"/>
    <w:rsid w:val="00FD48D1"/>
    <w:rsid w:val="00FD5823"/>
    <w:rsid w:val="00FD68E5"/>
    <w:rsid w:val="00FE13E7"/>
    <w:rsid w:val="00FE1C27"/>
    <w:rsid w:val="00FE2FF0"/>
    <w:rsid w:val="00FE486C"/>
    <w:rsid w:val="00FE5BFD"/>
    <w:rsid w:val="00FE5C31"/>
    <w:rsid w:val="00FE6F9F"/>
    <w:rsid w:val="00FF0B01"/>
    <w:rsid w:val="00FF1D69"/>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2421678"/>
    <w:rsid w:val="024D02DF"/>
    <w:rsid w:val="02693733"/>
    <w:rsid w:val="02822399"/>
    <w:rsid w:val="02AB6CB9"/>
    <w:rsid w:val="02AF283F"/>
    <w:rsid w:val="02EA1C73"/>
    <w:rsid w:val="02EA4873"/>
    <w:rsid w:val="02F746AF"/>
    <w:rsid w:val="03165543"/>
    <w:rsid w:val="032F17F8"/>
    <w:rsid w:val="033B4CB2"/>
    <w:rsid w:val="03630E18"/>
    <w:rsid w:val="03C437D1"/>
    <w:rsid w:val="03E36090"/>
    <w:rsid w:val="04381AB2"/>
    <w:rsid w:val="043F1D3E"/>
    <w:rsid w:val="04755359"/>
    <w:rsid w:val="047B6A67"/>
    <w:rsid w:val="049429CC"/>
    <w:rsid w:val="04CD1B34"/>
    <w:rsid w:val="0501545F"/>
    <w:rsid w:val="050215AD"/>
    <w:rsid w:val="050B7DE6"/>
    <w:rsid w:val="051200B1"/>
    <w:rsid w:val="05223F97"/>
    <w:rsid w:val="056722EE"/>
    <w:rsid w:val="05704DD8"/>
    <w:rsid w:val="05815FE6"/>
    <w:rsid w:val="05A760F4"/>
    <w:rsid w:val="05B33F76"/>
    <w:rsid w:val="05C339B5"/>
    <w:rsid w:val="06096315"/>
    <w:rsid w:val="0624609C"/>
    <w:rsid w:val="062B2D27"/>
    <w:rsid w:val="069906AB"/>
    <w:rsid w:val="069E24BC"/>
    <w:rsid w:val="06CF023E"/>
    <w:rsid w:val="06EB318B"/>
    <w:rsid w:val="070611B8"/>
    <w:rsid w:val="075936E4"/>
    <w:rsid w:val="076120D2"/>
    <w:rsid w:val="07EA2C20"/>
    <w:rsid w:val="07F77D7D"/>
    <w:rsid w:val="08117553"/>
    <w:rsid w:val="081F41A5"/>
    <w:rsid w:val="083166B8"/>
    <w:rsid w:val="0842473D"/>
    <w:rsid w:val="08474F44"/>
    <w:rsid w:val="08B939E8"/>
    <w:rsid w:val="08BD6586"/>
    <w:rsid w:val="08C721AC"/>
    <w:rsid w:val="09093579"/>
    <w:rsid w:val="092645E3"/>
    <w:rsid w:val="09997799"/>
    <w:rsid w:val="09AF3A43"/>
    <w:rsid w:val="09B47989"/>
    <w:rsid w:val="09BB4FDC"/>
    <w:rsid w:val="0A071A1C"/>
    <w:rsid w:val="0A0D66CD"/>
    <w:rsid w:val="0A313645"/>
    <w:rsid w:val="0A5A7E97"/>
    <w:rsid w:val="0A840E0B"/>
    <w:rsid w:val="0A9B3638"/>
    <w:rsid w:val="0AEB6AB5"/>
    <w:rsid w:val="0B41505C"/>
    <w:rsid w:val="0B831A6A"/>
    <w:rsid w:val="0B8C7102"/>
    <w:rsid w:val="0B903FB2"/>
    <w:rsid w:val="0BA650B0"/>
    <w:rsid w:val="0C257EEE"/>
    <w:rsid w:val="0C4E5663"/>
    <w:rsid w:val="0C57251C"/>
    <w:rsid w:val="0C674FB5"/>
    <w:rsid w:val="0C744411"/>
    <w:rsid w:val="0C753BF1"/>
    <w:rsid w:val="0C8D48A9"/>
    <w:rsid w:val="0C9E7DEC"/>
    <w:rsid w:val="0CB15A73"/>
    <w:rsid w:val="0CEF2E65"/>
    <w:rsid w:val="0D7541A4"/>
    <w:rsid w:val="0D7E5BD5"/>
    <w:rsid w:val="0DF55AEE"/>
    <w:rsid w:val="0E016A62"/>
    <w:rsid w:val="0E1E0A98"/>
    <w:rsid w:val="0E5C32A1"/>
    <w:rsid w:val="0ED70EDA"/>
    <w:rsid w:val="0EDF56C6"/>
    <w:rsid w:val="0F057059"/>
    <w:rsid w:val="0F347DE4"/>
    <w:rsid w:val="0F395784"/>
    <w:rsid w:val="0F3A623D"/>
    <w:rsid w:val="0F3E3FD8"/>
    <w:rsid w:val="0FA2001A"/>
    <w:rsid w:val="0FFB7B6A"/>
    <w:rsid w:val="10122C27"/>
    <w:rsid w:val="10CB5EB3"/>
    <w:rsid w:val="10F63EA9"/>
    <w:rsid w:val="10FB2F27"/>
    <w:rsid w:val="11122D4B"/>
    <w:rsid w:val="11367FF9"/>
    <w:rsid w:val="11641C95"/>
    <w:rsid w:val="116D3A58"/>
    <w:rsid w:val="117C2C1F"/>
    <w:rsid w:val="118019EE"/>
    <w:rsid w:val="118320E5"/>
    <w:rsid w:val="11A20C30"/>
    <w:rsid w:val="11BE69AD"/>
    <w:rsid w:val="11D04BF9"/>
    <w:rsid w:val="11D349A1"/>
    <w:rsid w:val="11E26360"/>
    <w:rsid w:val="11ED72D3"/>
    <w:rsid w:val="12314A32"/>
    <w:rsid w:val="12614D01"/>
    <w:rsid w:val="126A32DB"/>
    <w:rsid w:val="127B3912"/>
    <w:rsid w:val="12A60D0F"/>
    <w:rsid w:val="12AE585A"/>
    <w:rsid w:val="12B750C5"/>
    <w:rsid w:val="12F00D73"/>
    <w:rsid w:val="13666AA1"/>
    <w:rsid w:val="136963FC"/>
    <w:rsid w:val="13F83F60"/>
    <w:rsid w:val="13FD766D"/>
    <w:rsid w:val="142E08BF"/>
    <w:rsid w:val="14491037"/>
    <w:rsid w:val="14640CFA"/>
    <w:rsid w:val="149D4B89"/>
    <w:rsid w:val="14B32312"/>
    <w:rsid w:val="15143A35"/>
    <w:rsid w:val="15253077"/>
    <w:rsid w:val="15263D47"/>
    <w:rsid w:val="153B1975"/>
    <w:rsid w:val="15567E5A"/>
    <w:rsid w:val="155930AC"/>
    <w:rsid w:val="1561661E"/>
    <w:rsid w:val="157652A6"/>
    <w:rsid w:val="15843D5B"/>
    <w:rsid w:val="15892C8F"/>
    <w:rsid w:val="15A436D8"/>
    <w:rsid w:val="15F248F6"/>
    <w:rsid w:val="162B6690"/>
    <w:rsid w:val="165846F4"/>
    <w:rsid w:val="167746BC"/>
    <w:rsid w:val="1690435D"/>
    <w:rsid w:val="16985257"/>
    <w:rsid w:val="169D194D"/>
    <w:rsid w:val="16AA3056"/>
    <w:rsid w:val="16D466EC"/>
    <w:rsid w:val="16EA110D"/>
    <w:rsid w:val="16F16555"/>
    <w:rsid w:val="170074DF"/>
    <w:rsid w:val="17013AE2"/>
    <w:rsid w:val="17104390"/>
    <w:rsid w:val="1757450F"/>
    <w:rsid w:val="1784019A"/>
    <w:rsid w:val="17C4348D"/>
    <w:rsid w:val="17CD62C4"/>
    <w:rsid w:val="18141BCC"/>
    <w:rsid w:val="183B1002"/>
    <w:rsid w:val="18561885"/>
    <w:rsid w:val="18CF5E88"/>
    <w:rsid w:val="18E13B76"/>
    <w:rsid w:val="18ED2708"/>
    <w:rsid w:val="18F02060"/>
    <w:rsid w:val="18F66476"/>
    <w:rsid w:val="18FF10E6"/>
    <w:rsid w:val="19906B90"/>
    <w:rsid w:val="19A4603F"/>
    <w:rsid w:val="19F63904"/>
    <w:rsid w:val="1A1B6B56"/>
    <w:rsid w:val="1A211FE4"/>
    <w:rsid w:val="1A371FA3"/>
    <w:rsid w:val="1A49529C"/>
    <w:rsid w:val="1A4D2582"/>
    <w:rsid w:val="1A57335E"/>
    <w:rsid w:val="1A5B7BDE"/>
    <w:rsid w:val="1A68592C"/>
    <w:rsid w:val="1A717968"/>
    <w:rsid w:val="1A790138"/>
    <w:rsid w:val="1A947AB7"/>
    <w:rsid w:val="1A956E8A"/>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9A0C60"/>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31F63"/>
    <w:rsid w:val="1E6A218D"/>
    <w:rsid w:val="1E9F1DE8"/>
    <w:rsid w:val="1EB853CE"/>
    <w:rsid w:val="1EC31478"/>
    <w:rsid w:val="1EE03B2A"/>
    <w:rsid w:val="1F377074"/>
    <w:rsid w:val="1F4A3464"/>
    <w:rsid w:val="1FA83A62"/>
    <w:rsid w:val="1FB16C12"/>
    <w:rsid w:val="1FCE2F89"/>
    <w:rsid w:val="20217AD1"/>
    <w:rsid w:val="2040570D"/>
    <w:rsid w:val="20470B0E"/>
    <w:rsid w:val="2096175D"/>
    <w:rsid w:val="20A94A18"/>
    <w:rsid w:val="21166C51"/>
    <w:rsid w:val="2150290C"/>
    <w:rsid w:val="21683856"/>
    <w:rsid w:val="21BE7E7C"/>
    <w:rsid w:val="21C64BD7"/>
    <w:rsid w:val="22315F6D"/>
    <w:rsid w:val="2251786A"/>
    <w:rsid w:val="225A1D39"/>
    <w:rsid w:val="22741FC3"/>
    <w:rsid w:val="22EA59B0"/>
    <w:rsid w:val="22FC699C"/>
    <w:rsid w:val="231F3BCF"/>
    <w:rsid w:val="23533917"/>
    <w:rsid w:val="236476D2"/>
    <w:rsid w:val="236D07DB"/>
    <w:rsid w:val="23952658"/>
    <w:rsid w:val="23CB5512"/>
    <w:rsid w:val="23E35509"/>
    <w:rsid w:val="23FF41ED"/>
    <w:rsid w:val="243A0CE1"/>
    <w:rsid w:val="245D7F81"/>
    <w:rsid w:val="24971009"/>
    <w:rsid w:val="25084F27"/>
    <w:rsid w:val="255A4E2F"/>
    <w:rsid w:val="255E4878"/>
    <w:rsid w:val="258A5FEE"/>
    <w:rsid w:val="259E2348"/>
    <w:rsid w:val="25A04FD1"/>
    <w:rsid w:val="25A320BB"/>
    <w:rsid w:val="25DA322F"/>
    <w:rsid w:val="25E703C8"/>
    <w:rsid w:val="26215F4F"/>
    <w:rsid w:val="2627653C"/>
    <w:rsid w:val="263B480B"/>
    <w:rsid w:val="26420D16"/>
    <w:rsid w:val="264E63BE"/>
    <w:rsid w:val="265B412C"/>
    <w:rsid w:val="26B412BF"/>
    <w:rsid w:val="26B55617"/>
    <w:rsid w:val="26E22465"/>
    <w:rsid w:val="27165905"/>
    <w:rsid w:val="272251CB"/>
    <w:rsid w:val="27451CD3"/>
    <w:rsid w:val="277A3B68"/>
    <w:rsid w:val="27BF2DF2"/>
    <w:rsid w:val="27DA50A9"/>
    <w:rsid w:val="27E95203"/>
    <w:rsid w:val="27F462A4"/>
    <w:rsid w:val="282E16F0"/>
    <w:rsid w:val="283B1FAD"/>
    <w:rsid w:val="283B44C5"/>
    <w:rsid w:val="28436695"/>
    <w:rsid w:val="285B7C41"/>
    <w:rsid w:val="285F4920"/>
    <w:rsid w:val="2861366E"/>
    <w:rsid w:val="2896057D"/>
    <w:rsid w:val="289F4F9A"/>
    <w:rsid w:val="28E41ED5"/>
    <w:rsid w:val="29222722"/>
    <w:rsid w:val="29266DF8"/>
    <w:rsid w:val="29447F2C"/>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772C20"/>
    <w:rsid w:val="2AC775BA"/>
    <w:rsid w:val="2ACD0A78"/>
    <w:rsid w:val="2ADC4329"/>
    <w:rsid w:val="2AED6FCE"/>
    <w:rsid w:val="2B142CE4"/>
    <w:rsid w:val="2B4754B4"/>
    <w:rsid w:val="2B530F2E"/>
    <w:rsid w:val="2B550DC3"/>
    <w:rsid w:val="2B854D14"/>
    <w:rsid w:val="2B8D2B50"/>
    <w:rsid w:val="2B9E7907"/>
    <w:rsid w:val="2BA36D9B"/>
    <w:rsid w:val="2BB214EE"/>
    <w:rsid w:val="2BD458AF"/>
    <w:rsid w:val="2BF55156"/>
    <w:rsid w:val="2C51530D"/>
    <w:rsid w:val="2C6466A8"/>
    <w:rsid w:val="2C8A0A03"/>
    <w:rsid w:val="2CE25C84"/>
    <w:rsid w:val="2CE62427"/>
    <w:rsid w:val="2CE82D31"/>
    <w:rsid w:val="2CF47F91"/>
    <w:rsid w:val="2D1028FA"/>
    <w:rsid w:val="2D3167E3"/>
    <w:rsid w:val="2D99427A"/>
    <w:rsid w:val="2D9B7431"/>
    <w:rsid w:val="2DB55950"/>
    <w:rsid w:val="2DDC6B7B"/>
    <w:rsid w:val="2DFD104F"/>
    <w:rsid w:val="2E1A280F"/>
    <w:rsid w:val="2E2E2FB7"/>
    <w:rsid w:val="2E3A6924"/>
    <w:rsid w:val="2E43345B"/>
    <w:rsid w:val="2E61338C"/>
    <w:rsid w:val="2EA57148"/>
    <w:rsid w:val="2EBC2803"/>
    <w:rsid w:val="2EE34A08"/>
    <w:rsid w:val="2F1B5739"/>
    <w:rsid w:val="2F3A60AC"/>
    <w:rsid w:val="2F415BA4"/>
    <w:rsid w:val="2F5B67BD"/>
    <w:rsid w:val="2F7D5130"/>
    <w:rsid w:val="2F7F727F"/>
    <w:rsid w:val="2F9C359E"/>
    <w:rsid w:val="2FA10772"/>
    <w:rsid w:val="2FA81DD3"/>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E53E60"/>
    <w:rsid w:val="32F2488B"/>
    <w:rsid w:val="32FA3DAF"/>
    <w:rsid w:val="331E6DF7"/>
    <w:rsid w:val="33230DD3"/>
    <w:rsid w:val="33797D65"/>
    <w:rsid w:val="337D69FA"/>
    <w:rsid w:val="33814F07"/>
    <w:rsid w:val="33921053"/>
    <w:rsid w:val="339F17B8"/>
    <w:rsid w:val="33C7066F"/>
    <w:rsid w:val="33D970E4"/>
    <w:rsid w:val="33EA68DE"/>
    <w:rsid w:val="33FC7D66"/>
    <w:rsid w:val="3410568B"/>
    <w:rsid w:val="34945B3E"/>
    <w:rsid w:val="349D2929"/>
    <w:rsid w:val="34A03094"/>
    <w:rsid w:val="34C01449"/>
    <w:rsid w:val="34E50B24"/>
    <w:rsid w:val="351D05FB"/>
    <w:rsid w:val="353D6C62"/>
    <w:rsid w:val="3566164A"/>
    <w:rsid w:val="359F1EB5"/>
    <w:rsid w:val="35B463D8"/>
    <w:rsid w:val="35ED3317"/>
    <w:rsid w:val="35F40F8A"/>
    <w:rsid w:val="3636459D"/>
    <w:rsid w:val="36510160"/>
    <w:rsid w:val="36822517"/>
    <w:rsid w:val="36D423FE"/>
    <w:rsid w:val="36F42F1D"/>
    <w:rsid w:val="37003393"/>
    <w:rsid w:val="371158E2"/>
    <w:rsid w:val="371E41AE"/>
    <w:rsid w:val="37323F24"/>
    <w:rsid w:val="37335D47"/>
    <w:rsid w:val="37410F6B"/>
    <w:rsid w:val="37692CB0"/>
    <w:rsid w:val="37867ABD"/>
    <w:rsid w:val="37D24456"/>
    <w:rsid w:val="385821B7"/>
    <w:rsid w:val="385D4936"/>
    <w:rsid w:val="38655DA3"/>
    <w:rsid w:val="38D544A3"/>
    <w:rsid w:val="38D936FC"/>
    <w:rsid w:val="38E250CA"/>
    <w:rsid w:val="39073ACA"/>
    <w:rsid w:val="395E7234"/>
    <w:rsid w:val="398B3028"/>
    <w:rsid w:val="39A80E07"/>
    <w:rsid w:val="39BE04FE"/>
    <w:rsid w:val="39C87431"/>
    <w:rsid w:val="39F5707E"/>
    <w:rsid w:val="3A3C0EF2"/>
    <w:rsid w:val="3A465341"/>
    <w:rsid w:val="3A47778A"/>
    <w:rsid w:val="3A5242A0"/>
    <w:rsid w:val="3A5F768B"/>
    <w:rsid w:val="3A760D15"/>
    <w:rsid w:val="3AE55C2D"/>
    <w:rsid w:val="3AE702C6"/>
    <w:rsid w:val="3B176A38"/>
    <w:rsid w:val="3B297007"/>
    <w:rsid w:val="3B380D28"/>
    <w:rsid w:val="3B46201B"/>
    <w:rsid w:val="3B5216F9"/>
    <w:rsid w:val="3B7B38C4"/>
    <w:rsid w:val="3BD70252"/>
    <w:rsid w:val="3BE66140"/>
    <w:rsid w:val="3C0061C5"/>
    <w:rsid w:val="3C487939"/>
    <w:rsid w:val="3C5765A9"/>
    <w:rsid w:val="3C60740D"/>
    <w:rsid w:val="3C8379C6"/>
    <w:rsid w:val="3CEC4060"/>
    <w:rsid w:val="3CF04984"/>
    <w:rsid w:val="3D161EDC"/>
    <w:rsid w:val="3D1C40C8"/>
    <w:rsid w:val="3D3954D4"/>
    <w:rsid w:val="3D577CDA"/>
    <w:rsid w:val="3D7E72AF"/>
    <w:rsid w:val="3D9E5B13"/>
    <w:rsid w:val="3DBF2EAD"/>
    <w:rsid w:val="3DC37A8D"/>
    <w:rsid w:val="3DCA4932"/>
    <w:rsid w:val="3DD6485D"/>
    <w:rsid w:val="3DE70B1F"/>
    <w:rsid w:val="3DEA6E8A"/>
    <w:rsid w:val="3DEB4476"/>
    <w:rsid w:val="3E382E5E"/>
    <w:rsid w:val="3EA3441A"/>
    <w:rsid w:val="3F3D686C"/>
    <w:rsid w:val="3F4B698A"/>
    <w:rsid w:val="3F8A64BB"/>
    <w:rsid w:val="3F9E46AA"/>
    <w:rsid w:val="3FB1408C"/>
    <w:rsid w:val="3FBF0B5B"/>
    <w:rsid w:val="3FD30D6A"/>
    <w:rsid w:val="3FDC692B"/>
    <w:rsid w:val="3FE64BC9"/>
    <w:rsid w:val="402279B5"/>
    <w:rsid w:val="40291959"/>
    <w:rsid w:val="40581C40"/>
    <w:rsid w:val="405C40A1"/>
    <w:rsid w:val="406865D7"/>
    <w:rsid w:val="406E0D94"/>
    <w:rsid w:val="40A20794"/>
    <w:rsid w:val="40E62913"/>
    <w:rsid w:val="411321B8"/>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BD07B8"/>
    <w:rsid w:val="441E6B9F"/>
    <w:rsid w:val="445B3CD8"/>
    <w:rsid w:val="445F4661"/>
    <w:rsid w:val="446740F6"/>
    <w:rsid w:val="446E34AC"/>
    <w:rsid w:val="44987CE4"/>
    <w:rsid w:val="4499420D"/>
    <w:rsid w:val="44A8789A"/>
    <w:rsid w:val="44C01191"/>
    <w:rsid w:val="44E32F71"/>
    <w:rsid w:val="44EB4848"/>
    <w:rsid w:val="45090469"/>
    <w:rsid w:val="4586428B"/>
    <w:rsid w:val="458C6480"/>
    <w:rsid w:val="45961F0D"/>
    <w:rsid w:val="45BD69DB"/>
    <w:rsid w:val="45E322D4"/>
    <w:rsid w:val="45FE4003"/>
    <w:rsid w:val="4653562D"/>
    <w:rsid w:val="46547176"/>
    <w:rsid w:val="46E66308"/>
    <w:rsid w:val="47347B27"/>
    <w:rsid w:val="474315F8"/>
    <w:rsid w:val="478168FA"/>
    <w:rsid w:val="478953EA"/>
    <w:rsid w:val="47CE26AC"/>
    <w:rsid w:val="47E33949"/>
    <w:rsid w:val="47FE26EA"/>
    <w:rsid w:val="47FE36A8"/>
    <w:rsid w:val="483E20BF"/>
    <w:rsid w:val="48671661"/>
    <w:rsid w:val="486E6A7E"/>
    <w:rsid w:val="48A0459F"/>
    <w:rsid w:val="48D16DC1"/>
    <w:rsid w:val="4944592C"/>
    <w:rsid w:val="49787384"/>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CB1D03"/>
    <w:rsid w:val="4BDA2E5D"/>
    <w:rsid w:val="4BF629B9"/>
    <w:rsid w:val="4C0C0132"/>
    <w:rsid w:val="4C0E21A5"/>
    <w:rsid w:val="4C0E26AD"/>
    <w:rsid w:val="4C287E0A"/>
    <w:rsid w:val="4C3E48B5"/>
    <w:rsid w:val="4C4A78FD"/>
    <w:rsid w:val="4C8E6D26"/>
    <w:rsid w:val="4CBE0F1B"/>
    <w:rsid w:val="4CF21A90"/>
    <w:rsid w:val="4CFF1EE0"/>
    <w:rsid w:val="4D003B9C"/>
    <w:rsid w:val="4D123B32"/>
    <w:rsid w:val="4D140805"/>
    <w:rsid w:val="4D1D180B"/>
    <w:rsid w:val="4D202DF7"/>
    <w:rsid w:val="4D61085B"/>
    <w:rsid w:val="4E051CC4"/>
    <w:rsid w:val="4E442197"/>
    <w:rsid w:val="4E563558"/>
    <w:rsid w:val="4E844E97"/>
    <w:rsid w:val="4E86420B"/>
    <w:rsid w:val="4EA20994"/>
    <w:rsid w:val="4EC27A46"/>
    <w:rsid w:val="4EE40814"/>
    <w:rsid w:val="4EE72FE2"/>
    <w:rsid w:val="4EEF69C6"/>
    <w:rsid w:val="4F135004"/>
    <w:rsid w:val="4F402839"/>
    <w:rsid w:val="4F687866"/>
    <w:rsid w:val="4FAF3987"/>
    <w:rsid w:val="4FCC01B7"/>
    <w:rsid w:val="4FE40B13"/>
    <w:rsid w:val="4FF41D40"/>
    <w:rsid w:val="501A0CA4"/>
    <w:rsid w:val="5027687A"/>
    <w:rsid w:val="504A6570"/>
    <w:rsid w:val="50BA48B8"/>
    <w:rsid w:val="50C83AD7"/>
    <w:rsid w:val="50ED06FF"/>
    <w:rsid w:val="51024C94"/>
    <w:rsid w:val="51070E92"/>
    <w:rsid w:val="51115A4E"/>
    <w:rsid w:val="5127505A"/>
    <w:rsid w:val="51893F45"/>
    <w:rsid w:val="51B7167C"/>
    <w:rsid w:val="51B81B3E"/>
    <w:rsid w:val="51D63121"/>
    <w:rsid w:val="51DE5395"/>
    <w:rsid w:val="520235DA"/>
    <w:rsid w:val="52187699"/>
    <w:rsid w:val="529A6116"/>
    <w:rsid w:val="52C73CD3"/>
    <w:rsid w:val="52D926D6"/>
    <w:rsid w:val="52F90194"/>
    <w:rsid w:val="52FD15A0"/>
    <w:rsid w:val="53805954"/>
    <w:rsid w:val="538F59F6"/>
    <w:rsid w:val="539378D7"/>
    <w:rsid w:val="53B234B3"/>
    <w:rsid w:val="53F67036"/>
    <w:rsid w:val="540E2DBF"/>
    <w:rsid w:val="54182C63"/>
    <w:rsid w:val="545F2FD2"/>
    <w:rsid w:val="549D648C"/>
    <w:rsid w:val="54C97DA6"/>
    <w:rsid w:val="54CB167B"/>
    <w:rsid w:val="54F41F52"/>
    <w:rsid w:val="55286A78"/>
    <w:rsid w:val="553E2F50"/>
    <w:rsid w:val="5551140A"/>
    <w:rsid w:val="55793EB8"/>
    <w:rsid w:val="559A1658"/>
    <w:rsid w:val="55DA6580"/>
    <w:rsid w:val="55E77217"/>
    <w:rsid w:val="560B723C"/>
    <w:rsid w:val="560C5C4A"/>
    <w:rsid w:val="561E6D8D"/>
    <w:rsid w:val="562B79B1"/>
    <w:rsid w:val="562F1DF3"/>
    <w:rsid w:val="563A7E9B"/>
    <w:rsid w:val="567D7199"/>
    <w:rsid w:val="5680124F"/>
    <w:rsid w:val="568C5E93"/>
    <w:rsid w:val="568E0AE9"/>
    <w:rsid w:val="56C8194B"/>
    <w:rsid w:val="57004853"/>
    <w:rsid w:val="570B4FD4"/>
    <w:rsid w:val="570E7044"/>
    <w:rsid w:val="57254844"/>
    <w:rsid w:val="57275200"/>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E27EC"/>
    <w:rsid w:val="5967551A"/>
    <w:rsid w:val="59B61115"/>
    <w:rsid w:val="59D00CDE"/>
    <w:rsid w:val="59EF71EF"/>
    <w:rsid w:val="59F36CDF"/>
    <w:rsid w:val="59FB69BC"/>
    <w:rsid w:val="5A0025BB"/>
    <w:rsid w:val="5A403C61"/>
    <w:rsid w:val="5A4D7CA8"/>
    <w:rsid w:val="5A5D12A5"/>
    <w:rsid w:val="5A6914A3"/>
    <w:rsid w:val="5A9D605C"/>
    <w:rsid w:val="5AA44B0C"/>
    <w:rsid w:val="5ADC2B4A"/>
    <w:rsid w:val="5B3B5A39"/>
    <w:rsid w:val="5B572266"/>
    <w:rsid w:val="5B6E0B56"/>
    <w:rsid w:val="5B8E08FB"/>
    <w:rsid w:val="5B8E2473"/>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364064"/>
    <w:rsid w:val="5D865797"/>
    <w:rsid w:val="5DA31058"/>
    <w:rsid w:val="5DCD3660"/>
    <w:rsid w:val="5E633F23"/>
    <w:rsid w:val="5E6372AC"/>
    <w:rsid w:val="5EA84C76"/>
    <w:rsid w:val="5EB033F0"/>
    <w:rsid w:val="5EE23C31"/>
    <w:rsid w:val="5F0B0673"/>
    <w:rsid w:val="5F383810"/>
    <w:rsid w:val="5F5A480F"/>
    <w:rsid w:val="5F88611B"/>
    <w:rsid w:val="5F9A2DB3"/>
    <w:rsid w:val="5FBA6F97"/>
    <w:rsid w:val="5FF802BF"/>
    <w:rsid w:val="606C0419"/>
    <w:rsid w:val="60C5243A"/>
    <w:rsid w:val="610A58B6"/>
    <w:rsid w:val="61532F70"/>
    <w:rsid w:val="615947F1"/>
    <w:rsid w:val="6164184E"/>
    <w:rsid w:val="61871227"/>
    <w:rsid w:val="61AE51E1"/>
    <w:rsid w:val="61C01273"/>
    <w:rsid w:val="61E6002D"/>
    <w:rsid w:val="61FE5408"/>
    <w:rsid w:val="620F6680"/>
    <w:rsid w:val="622D5CB6"/>
    <w:rsid w:val="624F7682"/>
    <w:rsid w:val="62C263A8"/>
    <w:rsid w:val="62CF018A"/>
    <w:rsid w:val="62D50940"/>
    <w:rsid w:val="62D93B11"/>
    <w:rsid w:val="62EE2C2F"/>
    <w:rsid w:val="63551221"/>
    <w:rsid w:val="63615F7B"/>
    <w:rsid w:val="63A10178"/>
    <w:rsid w:val="63E3203D"/>
    <w:rsid w:val="63FD3087"/>
    <w:rsid w:val="64137F7D"/>
    <w:rsid w:val="64400BFE"/>
    <w:rsid w:val="646A3422"/>
    <w:rsid w:val="647F7A80"/>
    <w:rsid w:val="64895199"/>
    <w:rsid w:val="64A00005"/>
    <w:rsid w:val="64B140B4"/>
    <w:rsid w:val="64B36D3B"/>
    <w:rsid w:val="64BE06BA"/>
    <w:rsid w:val="64BF55EE"/>
    <w:rsid w:val="64CF72CF"/>
    <w:rsid w:val="64D52BFF"/>
    <w:rsid w:val="6515330B"/>
    <w:rsid w:val="65385003"/>
    <w:rsid w:val="654B1505"/>
    <w:rsid w:val="654B3E73"/>
    <w:rsid w:val="6556307B"/>
    <w:rsid w:val="660374D4"/>
    <w:rsid w:val="66147ABE"/>
    <w:rsid w:val="663D72DA"/>
    <w:rsid w:val="66687A1C"/>
    <w:rsid w:val="66A325BD"/>
    <w:rsid w:val="66C14BC9"/>
    <w:rsid w:val="66C2563F"/>
    <w:rsid w:val="67602773"/>
    <w:rsid w:val="676B6C70"/>
    <w:rsid w:val="67A91325"/>
    <w:rsid w:val="67DD5C5B"/>
    <w:rsid w:val="67EC77F8"/>
    <w:rsid w:val="68016A6B"/>
    <w:rsid w:val="684828EC"/>
    <w:rsid w:val="689F3E08"/>
    <w:rsid w:val="68BA4E6C"/>
    <w:rsid w:val="68D93DB8"/>
    <w:rsid w:val="69186C08"/>
    <w:rsid w:val="693A7C21"/>
    <w:rsid w:val="69544E31"/>
    <w:rsid w:val="69693042"/>
    <w:rsid w:val="69960846"/>
    <w:rsid w:val="69BA157C"/>
    <w:rsid w:val="69EB4D95"/>
    <w:rsid w:val="6A372AC2"/>
    <w:rsid w:val="6A3B2E2D"/>
    <w:rsid w:val="6A656E80"/>
    <w:rsid w:val="6A93582E"/>
    <w:rsid w:val="6AEA0C55"/>
    <w:rsid w:val="6B0728FD"/>
    <w:rsid w:val="6BB04D02"/>
    <w:rsid w:val="6BC4644F"/>
    <w:rsid w:val="6BC752C3"/>
    <w:rsid w:val="6C110A9B"/>
    <w:rsid w:val="6C2A74E8"/>
    <w:rsid w:val="6C3A3D2B"/>
    <w:rsid w:val="6C5775A1"/>
    <w:rsid w:val="6C977017"/>
    <w:rsid w:val="6CD01102"/>
    <w:rsid w:val="6CE432DD"/>
    <w:rsid w:val="6CE52A25"/>
    <w:rsid w:val="6CF62E47"/>
    <w:rsid w:val="6D091468"/>
    <w:rsid w:val="6D0B5DFC"/>
    <w:rsid w:val="6D1C5331"/>
    <w:rsid w:val="6D29066A"/>
    <w:rsid w:val="6D7C51AA"/>
    <w:rsid w:val="6D9C125A"/>
    <w:rsid w:val="6DA74B30"/>
    <w:rsid w:val="6DAD5CAE"/>
    <w:rsid w:val="6DC23474"/>
    <w:rsid w:val="6DD011A0"/>
    <w:rsid w:val="6DEF242C"/>
    <w:rsid w:val="6E0077C5"/>
    <w:rsid w:val="6E0E1743"/>
    <w:rsid w:val="6E2B7AAE"/>
    <w:rsid w:val="6E427AD0"/>
    <w:rsid w:val="6E4E02B2"/>
    <w:rsid w:val="6E592728"/>
    <w:rsid w:val="6EB95833"/>
    <w:rsid w:val="6ECA3ED4"/>
    <w:rsid w:val="6ED56E60"/>
    <w:rsid w:val="6EE51EE4"/>
    <w:rsid w:val="6EEB4C96"/>
    <w:rsid w:val="6EEC7AB2"/>
    <w:rsid w:val="6F1652FD"/>
    <w:rsid w:val="6F437133"/>
    <w:rsid w:val="6F662488"/>
    <w:rsid w:val="6F7645E4"/>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A72BBE"/>
    <w:rsid w:val="71A978CC"/>
    <w:rsid w:val="71B04626"/>
    <w:rsid w:val="71E2790D"/>
    <w:rsid w:val="71E365F3"/>
    <w:rsid w:val="71FB4317"/>
    <w:rsid w:val="721B2E1F"/>
    <w:rsid w:val="722457C3"/>
    <w:rsid w:val="725F4CC9"/>
    <w:rsid w:val="726A4B38"/>
    <w:rsid w:val="728438B9"/>
    <w:rsid w:val="7287440F"/>
    <w:rsid w:val="729C5716"/>
    <w:rsid w:val="72B86FD1"/>
    <w:rsid w:val="73162A83"/>
    <w:rsid w:val="732D6E6A"/>
    <w:rsid w:val="73442F72"/>
    <w:rsid w:val="734621EA"/>
    <w:rsid w:val="734D1603"/>
    <w:rsid w:val="734E2D80"/>
    <w:rsid w:val="7370368D"/>
    <w:rsid w:val="73816AD9"/>
    <w:rsid w:val="73882AAA"/>
    <w:rsid w:val="73B50E3C"/>
    <w:rsid w:val="744E400E"/>
    <w:rsid w:val="74667BF9"/>
    <w:rsid w:val="746E42CF"/>
    <w:rsid w:val="74B01FAA"/>
    <w:rsid w:val="74CC2B9D"/>
    <w:rsid w:val="74DA2C38"/>
    <w:rsid w:val="74E67CBC"/>
    <w:rsid w:val="751B1286"/>
    <w:rsid w:val="751C0CEF"/>
    <w:rsid w:val="7547395F"/>
    <w:rsid w:val="756606D3"/>
    <w:rsid w:val="757645B0"/>
    <w:rsid w:val="7582387F"/>
    <w:rsid w:val="758F1F23"/>
    <w:rsid w:val="759B24B3"/>
    <w:rsid w:val="75C10807"/>
    <w:rsid w:val="75FC0B66"/>
    <w:rsid w:val="75FE45EA"/>
    <w:rsid w:val="761A24DA"/>
    <w:rsid w:val="761D3FF0"/>
    <w:rsid w:val="7625056E"/>
    <w:rsid w:val="762D754F"/>
    <w:rsid w:val="765E1466"/>
    <w:rsid w:val="768A1158"/>
    <w:rsid w:val="76EC7ECF"/>
    <w:rsid w:val="76F96005"/>
    <w:rsid w:val="77352F6A"/>
    <w:rsid w:val="77512BE5"/>
    <w:rsid w:val="7754756D"/>
    <w:rsid w:val="77601195"/>
    <w:rsid w:val="77C07A1B"/>
    <w:rsid w:val="77C115B1"/>
    <w:rsid w:val="77E52A0D"/>
    <w:rsid w:val="77E969F8"/>
    <w:rsid w:val="77F365A0"/>
    <w:rsid w:val="7817154A"/>
    <w:rsid w:val="783013F6"/>
    <w:rsid w:val="7840527A"/>
    <w:rsid w:val="7856453B"/>
    <w:rsid w:val="787062FA"/>
    <w:rsid w:val="78852E09"/>
    <w:rsid w:val="788F5713"/>
    <w:rsid w:val="78AA44FB"/>
    <w:rsid w:val="79020895"/>
    <w:rsid w:val="79211E48"/>
    <w:rsid w:val="795521DA"/>
    <w:rsid w:val="795F4C29"/>
    <w:rsid w:val="7966746B"/>
    <w:rsid w:val="796A31E0"/>
    <w:rsid w:val="79816F4C"/>
    <w:rsid w:val="79854C0A"/>
    <w:rsid w:val="799C284A"/>
    <w:rsid w:val="79BF22E2"/>
    <w:rsid w:val="79C25C64"/>
    <w:rsid w:val="79ED577A"/>
    <w:rsid w:val="7A0765F4"/>
    <w:rsid w:val="7A243C5D"/>
    <w:rsid w:val="7A6431A8"/>
    <w:rsid w:val="7AA60C6D"/>
    <w:rsid w:val="7ABC6525"/>
    <w:rsid w:val="7AC455ED"/>
    <w:rsid w:val="7AD27E13"/>
    <w:rsid w:val="7AED0F1C"/>
    <w:rsid w:val="7AEE1B5D"/>
    <w:rsid w:val="7AEF079A"/>
    <w:rsid w:val="7B5173C7"/>
    <w:rsid w:val="7BBB0C44"/>
    <w:rsid w:val="7BE94620"/>
    <w:rsid w:val="7C5238E1"/>
    <w:rsid w:val="7C9A5049"/>
    <w:rsid w:val="7CA86EE2"/>
    <w:rsid w:val="7CBC1904"/>
    <w:rsid w:val="7CD8157D"/>
    <w:rsid w:val="7D093A4B"/>
    <w:rsid w:val="7D0C52C7"/>
    <w:rsid w:val="7D3618EC"/>
    <w:rsid w:val="7D662267"/>
    <w:rsid w:val="7D820B6D"/>
    <w:rsid w:val="7D874CEF"/>
    <w:rsid w:val="7D8776DC"/>
    <w:rsid w:val="7DF944FA"/>
    <w:rsid w:val="7E0C02D2"/>
    <w:rsid w:val="7E124CA7"/>
    <w:rsid w:val="7E431C8F"/>
    <w:rsid w:val="7E872C54"/>
    <w:rsid w:val="7E920BF1"/>
    <w:rsid w:val="7ED93848"/>
    <w:rsid w:val="7EE20684"/>
    <w:rsid w:val="7EED5F45"/>
    <w:rsid w:val="7F433B17"/>
    <w:rsid w:val="7F4F4108"/>
    <w:rsid w:val="7F525EC2"/>
    <w:rsid w:val="7F605FD9"/>
    <w:rsid w:val="7F78656C"/>
    <w:rsid w:val="7FB66F17"/>
    <w:rsid w:val="7FB87709"/>
    <w:rsid w:val="7FC142FE"/>
    <w:rsid w:val="7FE340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226"/>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224"/>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tabs>
        <w:tab w:val="left" w:pos="780"/>
      </w:tabs>
      <w:spacing w:line="360" w:lineRule="auto"/>
      <w:ind w:left="425" w:hanging="425"/>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255"/>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239"/>
    <w:qFormat/>
    <w:uiPriority w:val="0"/>
    <w:pPr>
      <w:adjustRightInd w:val="0"/>
      <w:spacing w:line="360" w:lineRule="atLeast"/>
      <w:jc w:val="left"/>
      <w:textAlignment w:val="baseline"/>
    </w:pPr>
    <w:rPr>
      <w:kern w:val="0"/>
      <w:sz w:val="24"/>
    </w:rPr>
  </w:style>
  <w:style w:type="paragraph" w:styleId="22">
    <w:name w:val="index 6"/>
    <w:basedOn w:val="1"/>
    <w:next w:val="1"/>
    <w:qFormat/>
    <w:uiPriority w:val="0"/>
    <w:pPr>
      <w:ind w:left="2100"/>
    </w:pPr>
  </w:style>
  <w:style w:type="paragraph" w:styleId="23">
    <w:name w:val="Salutation"/>
    <w:basedOn w:val="1"/>
    <w:next w:val="1"/>
    <w:qFormat/>
    <w:uiPriority w:val="0"/>
  </w:style>
  <w:style w:type="paragraph" w:styleId="24">
    <w:name w:val="Body Text 3"/>
    <w:basedOn w:val="1"/>
    <w:qFormat/>
    <w:uiPriority w:val="0"/>
    <w:pPr>
      <w:adjustRightInd w:val="0"/>
      <w:snapToGrid w:val="0"/>
      <w:spacing w:after="120" w:line="360" w:lineRule="auto"/>
    </w:pPr>
    <w:rPr>
      <w:sz w:val="16"/>
    </w:rPr>
  </w:style>
  <w:style w:type="paragraph" w:styleId="25">
    <w:name w:val="List Bullet 3"/>
    <w:basedOn w:val="1"/>
    <w:qFormat/>
    <w:uiPriority w:val="0"/>
    <w:pPr>
      <w:tabs>
        <w:tab w:val="left" w:pos="1200"/>
      </w:tabs>
      <w:adjustRightInd w:val="0"/>
      <w:snapToGrid w:val="0"/>
      <w:spacing w:line="360" w:lineRule="auto"/>
      <w:ind w:left="1200" w:hanging="360"/>
    </w:pPr>
    <w:rPr>
      <w:sz w:val="24"/>
    </w:rPr>
  </w:style>
  <w:style w:type="paragraph" w:styleId="26">
    <w:name w:val="Body Text Indent"/>
    <w:basedOn w:val="1"/>
    <w:link w:val="218"/>
    <w:qFormat/>
    <w:uiPriority w:val="0"/>
    <w:pPr>
      <w:spacing w:line="700" w:lineRule="exact"/>
      <w:ind w:left="960"/>
    </w:pPr>
    <w:rPr>
      <w:sz w:val="4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line="360" w:lineRule="auto"/>
      <w:ind w:left="420" w:leftChars="200"/>
    </w:pPr>
    <w:rPr>
      <w:sz w:val="24"/>
    </w:rPr>
  </w:style>
  <w:style w:type="paragraph" w:styleId="30">
    <w:name w:val="List Bullet 2"/>
    <w:basedOn w:val="1"/>
    <w:qFormat/>
    <w:uiPriority w:val="0"/>
    <w:pPr>
      <w:tabs>
        <w:tab w:val="left" w:pos="780"/>
      </w:tabs>
      <w:adjustRightInd w:val="0"/>
      <w:snapToGrid w:val="0"/>
      <w:spacing w:line="360" w:lineRule="auto"/>
      <w:ind w:left="780" w:hanging="360"/>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240"/>
    <w:qFormat/>
    <w:uiPriority w:val="0"/>
  </w:style>
  <w:style w:type="paragraph" w:styleId="36">
    <w:name w:val="Body Text Indent 2"/>
    <w:basedOn w:val="1"/>
    <w:next w:val="1"/>
    <w:link w:val="227"/>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link w:val="231"/>
    <w:qFormat/>
    <w:uiPriority w:val="0"/>
    <w:pPr>
      <w:tabs>
        <w:tab w:val="center" w:pos="4153"/>
        <w:tab w:val="right" w:pos="8306"/>
      </w:tabs>
      <w:snapToGrid w:val="0"/>
      <w:jc w:val="left"/>
    </w:pPr>
    <w:rPr>
      <w:sz w:val="18"/>
    </w:rPr>
  </w:style>
  <w:style w:type="paragraph" w:styleId="39">
    <w:name w:val="header"/>
    <w:basedOn w:val="1"/>
    <w:link w:val="250"/>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Subtitle"/>
    <w:basedOn w:val="1"/>
    <w:next w:val="1"/>
    <w:link w:val="230"/>
    <w:qFormat/>
    <w:uiPriority w:val="0"/>
    <w:pPr>
      <w:spacing w:before="240" w:after="60" w:line="312" w:lineRule="auto"/>
      <w:jc w:val="center"/>
      <w:outlineLvl w:val="1"/>
    </w:pPr>
    <w:rPr>
      <w:rFonts w:ascii="Cambria" w:hAnsi="Cambria"/>
      <w:b/>
      <w:bCs/>
      <w:kern w:val="28"/>
      <w:sz w:val="32"/>
      <w:szCs w:val="32"/>
    </w:rPr>
  </w:style>
  <w:style w:type="paragraph" w:styleId="44">
    <w:name w:val="footnote text"/>
    <w:basedOn w:val="1"/>
    <w:link w:val="247"/>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0"/>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21"/>
    <w:next w:val="21"/>
    <w:link w:val="225"/>
    <w:qFormat/>
    <w:uiPriority w:val="0"/>
    <w:pPr>
      <w:adjustRightInd/>
      <w:spacing w:line="240" w:lineRule="auto"/>
      <w:textAlignment w:val="auto"/>
    </w:pPr>
  </w:style>
  <w:style w:type="paragraph" w:styleId="59">
    <w:name w:val="Body Text First Indent"/>
    <w:basedOn w:val="2"/>
    <w:qFormat/>
    <w:uiPriority w:val="0"/>
    <w:pPr>
      <w:spacing w:line="360" w:lineRule="auto"/>
      <w:ind w:firstLine="420"/>
    </w:pPr>
    <w:rPr>
      <w:rFonts w:ascii="宋体" w:hAnsi="宋体"/>
      <w:sz w:val="24"/>
    </w:rPr>
  </w:style>
  <w:style w:type="paragraph" w:styleId="60">
    <w:name w:val="Body Text First Indent 2"/>
    <w:basedOn w:val="26"/>
    <w:next w:val="1"/>
    <w:link w:val="251"/>
    <w:qFormat/>
    <w:uiPriority w:val="0"/>
    <w:pPr>
      <w:spacing w:after="120" w:line="240" w:lineRule="auto"/>
      <w:ind w:left="420" w:leftChars="200" w:firstLine="420" w:firstLineChars="200"/>
    </w:pPr>
  </w:style>
  <w:style w:type="table" w:styleId="62">
    <w:name w:val="Table Grid"/>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rFonts w:ascii="Times New Roman" w:hAnsi="Times New Roman" w:eastAsia="宋体" w:cs="Times New Roman"/>
      <w:b/>
    </w:rPr>
  </w:style>
  <w:style w:type="character" w:styleId="65">
    <w:name w:val="page number"/>
    <w:basedOn w:val="63"/>
    <w:qFormat/>
    <w:uiPriority w:val="0"/>
    <w:rPr>
      <w:rFonts w:ascii="Times New Roman" w:hAnsi="Times New Roman" w:eastAsia="宋体" w:cs="Times New Roman"/>
    </w:rPr>
  </w:style>
  <w:style w:type="character" w:styleId="66">
    <w:name w:val="FollowedHyperlink"/>
    <w:qFormat/>
    <w:uiPriority w:val="0"/>
    <w:rPr>
      <w:rFonts w:ascii="Times New Roman" w:hAnsi="Times New Roman" w:eastAsia="宋体" w:cs="Times New Roman"/>
      <w:color w:val="800080"/>
      <w:u w:val="single"/>
    </w:rPr>
  </w:style>
  <w:style w:type="character" w:styleId="67">
    <w:name w:val="Emphasis"/>
    <w:qFormat/>
    <w:uiPriority w:val="0"/>
    <w:rPr>
      <w:rFonts w:ascii="Times New Roman" w:hAnsi="Times New Roman" w:eastAsia="宋体" w:cs="Times New Roman"/>
      <w:i/>
    </w:rPr>
  </w:style>
  <w:style w:type="character" w:styleId="68">
    <w:name w:val="Hyperlink"/>
    <w:qFormat/>
    <w:uiPriority w:val="0"/>
    <w:rPr>
      <w:rFonts w:ascii="Times New Roman" w:hAnsi="Times New Roman" w:eastAsia="宋体" w:cs="Times New Roman"/>
      <w:color w:val="0000FF"/>
      <w:u w:val="single"/>
    </w:rPr>
  </w:style>
  <w:style w:type="character" w:styleId="69">
    <w:name w:val="annotation reference"/>
    <w:qFormat/>
    <w:uiPriority w:val="0"/>
    <w:rPr>
      <w:rFonts w:ascii="Times New Roman" w:hAnsi="Times New Roman" w:eastAsia="宋体" w:cs="Times New Roman"/>
      <w:sz w:val="21"/>
      <w:szCs w:val="21"/>
    </w:rPr>
  </w:style>
  <w:style w:type="character" w:styleId="70">
    <w:name w:val="footnote reference"/>
    <w:qFormat/>
    <w:uiPriority w:val="0"/>
    <w:rPr>
      <w:rFonts w:ascii="Times New Roman" w:hAnsi="Times New Roman" w:eastAsia="宋体" w:cs="Times New Roman"/>
      <w:position w:val="6"/>
      <w:sz w:val="14"/>
      <w:vertAlign w:val="superscript"/>
    </w:rPr>
  </w:style>
  <w:style w:type="paragraph" w:customStyle="1" w:styleId="71">
    <w:name w:val="Default"/>
    <w:next w:val="22"/>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2">
    <w:name w:val="列表项目"/>
    <w:basedOn w:val="1"/>
    <w:qFormat/>
    <w:uiPriority w:val="0"/>
    <w:pPr>
      <w:tabs>
        <w:tab w:val="left" w:pos="420"/>
      </w:tabs>
      <w:spacing w:line="288" w:lineRule="auto"/>
      <w:ind w:left="840" w:leftChars="200" w:hanging="420" w:hangingChars="200"/>
    </w:pPr>
    <w:rPr>
      <w:sz w:val="21"/>
    </w:rPr>
  </w:style>
  <w:style w:type="paragraph" w:customStyle="1" w:styleId="73">
    <w:name w:val="00"/>
    <w:basedOn w:val="1"/>
    <w:qFormat/>
    <w:uiPriority w:val="0"/>
    <w:pPr>
      <w:autoSpaceDE w:val="0"/>
      <w:autoSpaceDN w:val="0"/>
      <w:adjustRightInd w:val="0"/>
      <w:jc w:val="left"/>
    </w:pPr>
    <w:rPr>
      <w:rFonts w:ascii="黑体" w:eastAsia="黑体"/>
      <w:b/>
      <w:kern w:val="0"/>
      <w:sz w:val="20"/>
    </w:rPr>
  </w:style>
  <w:style w:type="paragraph" w:customStyle="1" w:styleId="7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75">
    <w:name w:val="Char1"/>
    <w:basedOn w:val="1"/>
    <w:qFormat/>
    <w:uiPriority w:val="0"/>
    <w:rPr>
      <w:sz w:val="21"/>
    </w:rPr>
  </w:style>
  <w:style w:type="paragraph" w:customStyle="1" w:styleId="76">
    <w:name w:val="Char Char 字元 字元 字元 Char Char Char Char"/>
    <w:basedOn w:val="1"/>
    <w:qFormat/>
    <w:uiPriority w:val="0"/>
    <w:pPr>
      <w:adjustRightInd w:val="0"/>
      <w:spacing w:line="360" w:lineRule="auto"/>
    </w:pPr>
    <w:rPr>
      <w:kern w:val="0"/>
      <w:sz w:val="24"/>
    </w:rPr>
  </w:style>
  <w:style w:type="paragraph" w:customStyle="1" w:styleId="7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78">
    <w:name w:val="样式 正文文本缩进 + 左  0 字符"/>
    <w:basedOn w:val="1"/>
    <w:qFormat/>
    <w:uiPriority w:val="0"/>
    <w:pPr>
      <w:spacing w:line="360" w:lineRule="auto"/>
      <w:ind w:firstLine="250" w:firstLineChars="250"/>
    </w:pPr>
    <w:rPr>
      <w:rFonts w:cs="宋体"/>
      <w:sz w:val="24"/>
    </w:rPr>
  </w:style>
  <w:style w:type="paragraph" w:customStyle="1" w:styleId="7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80">
    <w:name w:val="Char Char Char Char Char"/>
    <w:basedOn w:val="1"/>
    <w:qFormat/>
    <w:uiPriority w:val="0"/>
    <w:pPr>
      <w:tabs>
        <w:tab w:val="left" w:pos="425"/>
      </w:tabs>
      <w:ind w:left="1620" w:hanging="360"/>
    </w:pPr>
    <w:rPr>
      <w:rFonts w:ascii="Tahoma" w:hAnsi="Tahoma"/>
      <w:sz w:val="24"/>
    </w:rPr>
  </w:style>
  <w:style w:type="paragraph" w:customStyle="1" w:styleId="81">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82">
    <w:name w:val="List Paragraph1"/>
    <w:basedOn w:val="1"/>
    <w:qFormat/>
    <w:uiPriority w:val="0"/>
    <w:pPr>
      <w:ind w:firstLine="420" w:firstLineChars="200"/>
    </w:pPr>
  </w:style>
  <w:style w:type="paragraph" w:customStyle="1" w:styleId="83">
    <w:name w:val="关键词"/>
    <w:basedOn w:val="1"/>
    <w:next w:val="1"/>
    <w:qFormat/>
    <w:uiPriority w:val="0"/>
    <w:pPr>
      <w:spacing w:line="360" w:lineRule="auto"/>
    </w:pPr>
    <w:rPr>
      <w:rFonts w:eastAsia="黑体"/>
      <w:sz w:val="20"/>
    </w:rPr>
  </w:style>
  <w:style w:type="paragraph" w:customStyle="1" w:styleId="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5">
    <w:name w:val="文档正文"/>
    <w:basedOn w:val="1"/>
    <w:qFormat/>
    <w:uiPriority w:val="0"/>
    <w:pPr>
      <w:adjustRightInd w:val="0"/>
      <w:snapToGrid w:val="0"/>
      <w:spacing w:line="440" w:lineRule="exact"/>
      <w:ind w:firstLine="567"/>
      <w:textAlignment w:val="baseline"/>
    </w:pPr>
    <w:rPr>
      <w:rFonts w:ascii="Arial Black" w:hAnsi="Arial Black"/>
      <w:kern w:val="0"/>
      <w:sz w:val="24"/>
    </w:rPr>
  </w:style>
  <w:style w:type="paragraph" w:customStyle="1" w:styleId="86">
    <w:name w:val="Char Char Char Char Char Char Char Char Char Char Char Char Char Char Char Char"/>
    <w:basedOn w:val="1"/>
    <w:qFormat/>
    <w:uiPriority w:val="0"/>
    <w:pPr>
      <w:tabs>
        <w:tab w:val="left" w:pos="360"/>
      </w:tabs>
    </w:pPr>
    <w:rPr>
      <w:sz w:val="24"/>
    </w:rPr>
  </w:style>
  <w:style w:type="paragraph" w:customStyle="1" w:styleId="87">
    <w:name w:val="样式 正文缩进正文（首行缩进两字）表正文正文非缩进特点标题4段1 + 首行缩进:  2 字符"/>
    <w:basedOn w:val="17"/>
    <w:qFormat/>
    <w:uiPriority w:val="0"/>
    <w:pPr>
      <w:ind w:firstLine="480" w:firstLineChars="200"/>
    </w:pPr>
  </w:style>
  <w:style w:type="paragraph" w:customStyle="1" w:styleId="88">
    <w:name w:val="附录3"/>
    <w:basedOn w:val="1"/>
    <w:next w:val="1"/>
    <w:qFormat/>
    <w:uiPriority w:val="0"/>
    <w:pPr>
      <w:tabs>
        <w:tab w:val="left" w:pos="851"/>
      </w:tabs>
      <w:ind w:left="425" w:hanging="425"/>
      <w:outlineLvl w:val="2"/>
    </w:pPr>
    <w:rPr>
      <w:rFonts w:eastAsia="黑体"/>
      <w:b/>
      <w:sz w:val="32"/>
    </w:rPr>
  </w:style>
  <w:style w:type="paragraph" w:customStyle="1" w:styleId="89">
    <w:name w:val="首行缩进 1"/>
    <w:basedOn w:val="1"/>
    <w:qFormat/>
    <w:uiPriority w:val="0"/>
    <w:pPr>
      <w:spacing w:after="120" w:line="360" w:lineRule="auto"/>
      <w:ind w:firstLine="200" w:firstLineChars="200"/>
    </w:pPr>
    <w:rPr>
      <w:sz w:val="24"/>
    </w:rPr>
  </w:style>
  <w:style w:type="paragraph" w:customStyle="1" w:styleId="9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图例"/>
    <w:basedOn w:val="1"/>
    <w:qFormat/>
    <w:uiPriority w:val="0"/>
    <w:pPr>
      <w:spacing w:before="120" w:after="120" w:line="360" w:lineRule="auto"/>
      <w:jc w:val="center"/>
    </w:pPr>
    <w:rPr>
      <w:rFonts w:eastAsia="仿宋_GB2312"/>
      <w:b/>
      <w:sz w:val="24"/>
    </w:rPr>
  </w:style>
  <w:style w:type="paragraph" w:customStyle="1" w:styleId="9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93">
    <w:name w:val="af"/>
    <w:basedOn w:val="1"/>
    <w:qFormat/>
    <w:uiPriority w:val="0"/>
    <w:pPr>
      <w:widowControl/>
      <w:spacing w:line="300" w:lineRule="atLeast"/>
      <w:jc w:val="left"/>
    </w:pPr>
    <w:rPr>
      <w:rFonts w:ascii="宋体" w:hAnsi="宋体"/>
      <w:kern w:val="0"/>
      <w:sz w:val="18"/>
    </w:rPr>
  </w:style>
  <w:style w:type="paragraph" w:customStyle="1" w:styleId="9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95">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9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97">
    <w:name w:val="样式 行距: 1.5 倍行距1"/>
    <w:basedOn w:val="1"/>
    <w:qFormat/>
    <w:uiPriority w:val="0"/>
    <w:pPr>
      <w:snapToGrid w:val="0"/>
    </w:pPr>
    <w:rPr>
      <w:sz w:val="21"/>
    </w:rPr>
  </w:style>
  <w:style w:type="paragraph" w:customStyle="1" w:styleId="98">
    <w:name w:val="Char Char14 Char Char"/>
    <w:basedOn w:val="1"/>
    <w:qFormat/>
    <w:uiPriority w:val="0"/>
    <w:rPr>
      <w:sz w:val="21"/>
      <w:szCs w:val="24"/>
    </w:rPr>
  </w:style>
  <w:style w:type="paragraph" w:customStyle="1" w:styleId="99">
    <w:name w:val="Char Char Char"/>
    <w:basedOn w:val="1"/>
    <w:qFormat/>
    <w:uiPriority w:val="0"/>
    <w:rPr>
      <w:rFonts w:ascii="Tahoma" w:hAnsi="Tahoma"/>
      <w:sz w:val="24"/>
    </w:rPr>
  </w:style>
  <w:style w:type="paragraph" w:customStyle="1" w:styleId="100">
    <w:name w:val="表头文本"/>
    <w:qFormat/>
    <w:uiPriority w:val="0"/>
    <w:pPr>
      <w:jc w:val="center"/>
    </w:pPr>
    <w:rPr>
      <w:rFonts w:ascii="Arial" w:hAnsi="Arial" w:eastAsia="宋体" w:cs="Times New Roman"/>
      <w:b/>
      <w:sz w:val="21"/>
      <w:lang w:val="en-US" w:eastAsia="zh-CN" w:bidi="ar-SA"/>
    </w:rPr>
  </w:style>
  <w:style w:type="paragraph" w:customStyle="1" w:styleId="101">
    <w:name w:val="表内文字"/>
    <w:basedOn w:val="1"/>
    <w:qFormat/>
    <w:uiPriority w:val="0"/>
    <w:pPr>
      <w:jc w:val="left"/>
    </w:pPr>
    <w:rPr>
      <w:rFonts w:ascii="仿宋_GB2312" w:eastAsia="仿宋_GB2312"/>
      <w:sz w:val="21"/>
      <w:szCs w:val="21"/>
    </w:rPr>
  </w:style>
  <w:style w:type="paragraph" w:customStyle="1" w:styleId="102">
    <w:name w:val="A正文缩进2字符"/>
    <w:basedOn w:val="1"/>
    <w:qFormat/>
    <w:uiPriority w:val="0"/>
    <w:pPr>
      <w:widowControl/>
      <w:spacing w:line="360" w:lineRule="auto"/>
      <w:ind w:firstLine="480" w:firstLineChars="200"/>
      <w:jc w:val="left"/>
    </w:pPr>
    <w:rPr>
      <w:rFonts w:ascii="Bookshelf Symbol 7" w:hAnsi="Bookshelf Symbol 7"/>
      <w:kern w:val="0"/>
      <w:szCs w:val="24"/>
    </w:rPr>
  </w:style>
  <w:style w:type="paragraph" w:customStyle="1" w:styleId="103">
    <w:name w:val="Table Contents"/>
    <w:basedOn w:val="2"/>
    <w:qFormat/>
    <w:uiPriority w:val="0"/>
    <w:pPr>
      <w:suppressAutoHyphens/>
      <w:jc w:val="left"/>
    </w:pPr>
    <w:rPr>
      <w:rFonts w:ascii="Times New Roman" w:eastAsia="Times New Roman"/>
      <w:kern w:val="0"/>
      <w:sz w:val="24"/>
    </w:rPr>
  </w:style>
  <w:style w:type="paragraph" w:customStyle="1" w:styleId="104">
    <w:name w:val="正文字缩2字"/>
    <w:basedOn w:val="1"/>
    <w:qFormat/>
    <w:uiPriority w:val="0"/>
    <w:pPr>
      <w:spacing w:before="60" w:after="60" w:line="360" w:lineRule="auto"/>
      <w:ind w:left="200" w:leftChars="200" w:firstLine="200" w:firstLineChars="200"/>
    </w:pPr>
    <w:rPr>
      <w:sz w:val="24"/>
    </w:rPr>
  </w:style>
  <w:style w:type="paragraph" w:customStyle="1" w:styleId="105">
    <w:name w:val="简单回函地址"/>
    <w:basedOn w:val="1"/>
    <w:qFormat/>
    <w:uiPriority w:val="0"/>
    <w:pPr>
      <w:adjustRightInd w:val="0"/>
      <w:snapToGrid w:val="0"/>
      <w:spacing w:line="360" w:lineRule="auto"/>
    </w:pPr>
    <w:rPr>
      <w:sz w:val="24"/>
    </w:rPr>
  </w:style>
  <w:style w:type="paragraph" w:customStyle="1" w:styleId="10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styleId="107">
    <w:name w:val="List Paragraph"/>
    <w:basedOn w:val="1"/>
    <w:qFormat/>
    <w:uiPriority w:val="0"/>
    <w:pPr>
      <w:ind w:firstLine="420" w:firstLineChars="200"/>
    </w:pPr>
  </w:style>
  <w:style w:type="paragraph" w:customStyle="1" w:styleId="108">
    <w:name w:val="样式1"/>
    <w:basedOn w:val="7"/>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109">
    <w:name w:val="Char1 Char Char Char"/>
    <w:basedOn w:val="1"/>
    <w:qFormat/>
    <w:uiPriority w:val="0"/>
    <w:rPr>
      <w:rFonts w:ascii="Tahoma" w:hAnsi="Tahoma"/>
      <w:sz w:val="30"/>
    </w:rPr>
  </w:style>
  <w:style w:type="paragraph" w:customStyle="1" w:styleId="110">
    <w:name w:val="Char Char Char Char Char Char Char1"/>
    <w:basedOn w:val="19"/>
    <w:qFormat/>
    <w:uiPriority w:val="0"/>
    <w:rPr>
      <w:rFonts w:ascii="宋体" w:hAnsi="Tahoma"/>
    </w:rPr>
  </w:style>
  <w:style w:type="paragraph" w:customStyle="1" w:styleId="11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4">
    <w:name w:val="正文4"/>
    <w:basedOn w:val="1"/>
    <w:qFormat/>
    <w:uiPriority w:val="0"/>
    <w:pPr>
      <w:tabs>
        <w:tab w:val="left" w:pos="1275"/>
      </w:tabs>
      <w:spacing w:before="60" w:after="60" w:line="360" w:lineRule="auto"/>
      <w:ind w:left="820" w:leftChars="400" w:hanging="705"/>
    </w:pPr>
    <w:rPr>
      <w:sz w:val="24"/>
    </w:rPr>
  </w:style>
  <w:style w:type="paragraph" w:customStyle="1" w:styleId="115">
    <w:name w:val="二级列表"/>
    <w:basedOn w:val="116"/>
    <w:next w:val="116"/>
    <w:qFormat/>
    <w:uiPriority w:val="0"/>
    <w:pPr>
      <w:tabs>
        <w:tab w:val="left" w:pos="2120"/>
      </w:tabs>
      <w:ind w:firstLine="0" w:firstLineChars="0"/>
    </w:pPr>
    <w:rPr>
      <w:b/>
    </w:rPr>
  </w:style>
  <w:style w:type="paragraph" w:customStyle="1" w:styleId="116">
    <w:name w:val="段落正文"/>
    <w:basedOn w:val="1"/>
    <w:qFormat/>
    <w:uiPriority w:val="0"/>
    <w:pPr>
      <w:spacing w:beforeLines="50" w:line="360" w:lineRule="auto"/>
      <w:ind w:firstLine="200" w:firstLineChars="200"/>
    </w:pPr>
    <w:rPr>
      <w:spacing w:val="2"/>
      <w:sz w:val="24"/>
    </w:rPr>
  </w:style>
  <w:style w:type="paragraph" w:customStyle="1" w:styleId="117">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1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汉仪楷体S" w:eastAsia="楷体_GB2312"/>
      <w:kern w:val="0"/>
      <w:sz w:val="21"/>
    </w:rPr>
  </w:style>
  <w:style w:type="paragraph" w:customStyle="1" w:styleId="119">
    <w:name w:val="文本框样式1"/>
    <w:basedOn w:val="1"/>
    <w:qFormat/>
    <w:uiPriority w:val="0"/>
    <w:pPr>
      <w:adjustRightInd w:val="0"/>
      <w:snapToGrid w:val="0"/>
      <w:spacing w:before="60" w:line="180" w:lineRule="exact"/>
      <w:jc w:val="center"/>
    </w:pPr>
    <w:rPr>
      <w:sz w:val="21"/>
    </w:rPr>
  </w:style>
  <w:style w:type="paragraph" w:customStyle="1" w:styleId="12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2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Char Char Char Char Char Char Char"/>
    <w:basedOn w:val="1"/>
    <w:qFormat/>
    <w:uiPriority w:val="0"/>
    <w:rPr>
      <w:rFonts w:ascii="Tahoma" w:hAnsi="Tahoma"/>
      <w:sz w:val="24"/>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26">
    <w:name w:val="表格文本"/>
    <w:qFormat/>
    <w:uiPriority w:val="0"/>
    <w:pPr>
      <w:tabs>
        <w:tab w:val="decimal" w:pos="0"/>
      </w:tabs>
    </w:pPr>
    <w:rPr>
      <w:rFonts w:ascii="Arial" w:hAnsi="Arial" w:eastAsia="宋体" w:cs="Times New Roman"/>
      <w:sz w:val="21"/>
      <w:lang w:val="en-US" w:eastAsia="zh-CN" w:bidi="ar-SA"/>
    </w:rPr>
  </w:style>
  <w:style w:type="paragraph" w:customStyle="1" w:styleId="127">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样式 宋体 五号 行距: 单倍行距"/>
    <w:basedOn w:val="1"/>
    <w:qFormat/>
    <w:uiPriority w:val="0"/>
    <w:pPr>
      <w:adjustRightInd w:val="0"/>
      <w:jc w:val="left"/>
    </w:pPr>
    <w:rPr>
      <w:rFonts w:ascii="宋体" w:hAnsi="宋体"/>
      <w:kern w:val="0"/>
      <w:sz w:val="21"/>
    </w:rPr>
  </w:style>
  <w:style w:type="paragraph" w:customStyle="1" w:styleId="131">
    <w:name w:val="Char Char1 Char"/>
    <w:basedOn w:val="1"/>
    <w:qFormat/>
    <w:uiPriority w:val="0"/>
    <w:rPr>
      <w:rFonts w:ascii="Tahoma" w:hAnsi="Tahoma"/>
      <w:sz w:val="24"/>
      <w:szCs w:val="24"/>
    </w:rPr>
  </w:style>
  <w:style w:type="paragraph" w:customStyle="1" w:styleId="132">
    <w:name w:val="Char"/>
    <w:basedOn w:val="1"/>
    <w:qFormat/>
    <w:uiPriority w:val="0"/>
    <w:pPr>
      <w:spacing w:line="240" w:lineRule="atLeast"/>
      <w:ind w:left="420" w:firstLine="420"/>
    </w:pPr>
    <w:rPr>
      <w:kern w:val="0"/>
      <w:sz w:val="21"/>
    </w:rPr>
  </w:style>
  <w:style w:type="paragraph" w:customStyle="1" w:styleId="133">
    <w:name w:val="列出段落2"/>
    <w:basedOn w:val="1"/>
    <w:qFormat/>
    <w:uiPriority w:val="0"/>
    <w:pPr>
      <w:ind w:firstLine="420" w:firstLineChars="20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列表段落1"/>
    <w:basedOn w:val="1"/>
    <w:qFormat/>
    <w:uiPriority w:val="0"/>
    <w:pPr>
      <w:adjustRightInd w:val="0"/>
      <w:snapToGrid w:val="0"/>
      <w:spacing w:line="360" w:lineRule="auto"/>
      <w:ind w:firstLine="420" w:firstLineChars="200"/>
      <w:jc w:val="left"/>
    </w:pPr>
    <w:rPr>
      <w:rFonts w:ascii="宋体" w:hAnsi="宋体"/>
      <w:sz w:val="24"/>
    </w:rPr>
  </w:style>
  <w:style w:type="paragraph" w:customStyle="1" w:styleId="136">
    <w:name w:val="没有缩进（为图形使用）"/>
    <w:basedOn w:val="1"/>
    <w:qFormat/>
    <w:uiPriority w:val="0"/>
    <w:pPr>
      <w:spacing w:before="120" w:after="120" w:line="360" w:lineRule="auto"/>
    </w:pPr>
    <w:rPr>
      <w:sz w:val="24"/>
    </w:rPr>
  </w:style>
  <w:style w:type="paragraph" w:customStyle="1" w:styleId="13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8">
    <w:name w:val="Table Text"/>
    <w:link w:val="238"/>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0">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41">
    <w:name w:val="正文（首行不缩进）"/>
    <w:basedOn w:val="1"/>
    <w:qFormat/>
    <w:uiPriority w:val="0"/>
    <w:pPr>
      <w:autoSpaceDE w:val="0"/>
      <w:autoSpaceDN w:val="0"/>
      <w:adjustRightInd w:val="0"/>
      <w:spacing w:line="360" w:lineRule="auto"/>
      <w:jc w:val="left"/>
    </w:pPr>
    <w:rPr>
      <w:kern w:val="0"/>
      <w:sz w:val="21"/>
    </w:rPr>
  </w:style>
  <w:style w:type="paragraph" w:customStyle="1" w:styleId="142">
    <w:name w:val="Table Text Char Char Char"/>
    <w:link w:val="246"/>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b/>
      <w:kern w:val="44"/>
      <w:sz w:val="36"/>
    </w:rPr>
  </w:style>
  <w:style w:type="paragraph" w:customStyle="1" w:styleId="144">
    <w:name w:val="样式 样式 首行缩进:  2 字符 + 首行缩进:  2 字符"/>
    <w:basedOn w:val="1"/>
    <w:qFormat/>
    <w:uiPriority w:val="0"/>
    <w:pPr>
      <w:spacing w:line="360" w:lineRule="auto"/>
      <w:ind w:firstLine="480" w:firstLineChars="200"/>
    </w:pPr>
    <w:rPr>
      <w:sz w:val="24"/>
    </w:rPr>
  </w:style>
  <w:style w:type="paragraph" w:customStyle="1" w:styleId="145">
    <w:name w:val="正文表格"/>
    <w:basedOn w:val="1"/>
    <w:qFormat/>
    <w:uiPriority w:val="0"/>
    <w:pPr>
      <w:adjustRightInd w:val="0"/>
      <w:spacing w:before="40" w:after="40"/>
    </w:pPr>
    <w:rPr>
      <w:sz w:val="24"/>
    </w:rPr>
  </w:style>
  <w:style w:type="paragraph" w:customStyle="1" w:styleId="146">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47">
    <w:name w:val="文章正文"/>
    <w:basedOn w:val="1"/>
    <w:qFormat/>
    <w:uiPriority w:val="0"/>
    <w:pPr>
      <w:ind w:firstLine="560" w:firstLineChars="200"/>
    </w:pPr>
    <w:rPr>
      <w:rFonts w:ascii="仿宋_GB2312" w:hAnsi="宋体" w:eastAsia="仿宋_GB2312"/>
      <w:color w:val="000000"/>
    </w:rPr>
  </w:style>
  <w:style w:type="paragraph" w:customStyle="1" w:styleId="14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0">
    <w:name w:val="一级条标题"/>
    <w:basedOn w:val="151"/>
    <w:next w:val="128"/>
    <w:qFormat/>
    <w:uiPriority w:val="0"/>
    <w:pPr>
      <w:spacing w:beforeLines="0" w:afterLines="0"/>
      <w:ind w:left="525"/>
      <w:outlineLvl w:val="2"/>
    </w:pPr>
    <w:rPr>
      <w:rFonts w:ascii="Times New Roman" w:eastAsia="宋体"/>
      <w:sz w:val="21"/>
    </w:rPr>
  </w:style>
  <w:style w:type="paragraph" w:customStyle="1" w:styleId="151">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4">
    <w:name w:val="表格内文字"/>
    <w:basedOn w:val="33"/>
    <w:qFormat/>
    <w:uiPriority w:val="0"/>
    <w:pPr>
      <w:adjustRightInd w:val="0"/>
    </w:pPr>
    <w:rPr>
      <w:rFonts w:ascii="Times New Roman" w:hAnsi="Times New Roman"/>
      <w:color w:val="000000"/>
    </w:rPr>
  </w:style>
  <w:style w:type="paragraph" w:customStyle="1" w:styleId="155">
    <w:name w:val="Title - Revision"/>
    <w:basedOn w:val="57"/>
    <w:qFormat/>
    <w:uiPriority w:val="0"/>
    <w:pPr>
      <w:spacing w:before="720"/>
    </w:pPr>
    <w:rPr>
      <w:rFonts w:ascii="Times New Roman" w:hAnsi="Times New Roman"/>
    </w:rPr>
  </w:style>
  <w:style w:type="paragraph" w:customStyle="1" w:styleId="156">
    <w:name w:val="Char1 Char Char Char1"/>
    <w:basedOn w:val="1"/>
    <w:qFormat/>
    <w:uiPriority w:val="0"/>
    <w:rPr>
      <w:rFonts w:ascii="Tahoma" w:hAnsi="Tahoma"/>
      <w:sz w:val="24"/>
    </w:rPr>
  </w:style>
  <w:style w:type="paragraph" w:customStyle="1" w:styleId="15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8">
    <w:name w:val="标题无"/>
    <w:basedOn w:val="1"/>
    <w:qFormat/>
    <w:uiPriority w:val="0"/>
    <w:pPr>
      <w:spacing w:line="360" w:lineRule="auto"/>
    </w:pPr>
    <w:rPr>
      <w:sz w:val="24"/>
    </w:rPr>
  </w:style>
  <w:style w:type="paragraph" w:customStyle="1" w:styleId="159">
    <w:name w:val="文档正文 Char Char Char Char Char"/>
    <w:basedOn w:val="1"/>
    <w:qFormat/>
    <w:uiPriority w:val="0"/>
    <w:pPr>
      <w:adjustRightInd w:val="0"/>
      <w:spacing w:line="440" w:lineRule="exact"/>
      <w:ind w:firstLine="420"/>
      <w:textAlignment w:val="baseline"/>
    </w:pPr>
    <w:rPr>
      <w:rFonts w:ascii="Arial Black" w:hAnsi="Arial Black"/>
      <w:kern w:val="0"/>
      <w:sz w:val="24"/>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Note"/>
    <w:basedOn w:val="1"/>
    <w:qFormat/>
    <w:uiPriority w:val="0"/>
    <w:pPr>
      <w:pBdr>
        <w:top w:val="single" w:color="auto" w:sz="12" w:space="3"/>
        <w:bottom w:val="single" w:color="auto" w:sz="12" w:space="3"/>
      </w:pBdr>
      <w:spacing w:line="360" w:lineRule="auto"/>
    </w:pPr>
    <w:rPr>
      <w:sz w:val="24"/>
    </w:rPr>
  </w:style>
  <w:style w:type="paragraph" w:customStyle="1" w:styleId="162">
    <w:name w:val="样式 标题 6第五层条 + 三号 段前: 0.5 行"/>
    <w:basedOn w:val="9"/>
    <w:qFormat/>
    <w:uiPriority w:val="0"/>
    <w:pPr>
      <w:widowControl/>
      <w:adjustRightInd/>
      <w:snapToGrid/>
      <w:spacing w:beforeLines="50"/>
      <w:jc w:val="left"/>
    </w:pPr>
    <w:rPr>
      <w:rFonts w:ascii="Times New Roman" w:hAnsi="Times New Roman" w:eastAsia="宋体"/>
      <w:snapToGrid w:val="0"/>
      <w:kern w:val="24"/>
      <w:sz w:val="28"/>
    </w:rPr>
  </w:style>
  <w:style w:type="paragraph" w:customStyle="1" w:styleId="16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5">
    <w:name w:val="正文 + 三号"/>
    <w:basedOn w:val="1"/>
    <w:qFormat/>
    <w:uiPriority w:val="0"/>
    <w:rPr>
      <w:sz w:val="21"/>
    </w:rPr>
  </w:style>
  <w:style w:type="paragraph" w:customStyle="1" w:styleId="16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7">
    <w:name w:val="图片文字"/>
    <w:basedOn w:val="1"/>
    <w:qFormat/>
    <w:uiPriority w:val="0"/>
    <w:pPr>
      <w:spacing w:line="240" w:lineRule="atLeast"/>
      <w:jc w:val="center"/>
    </w:pPr>
    <w:rPr>
      <w:sz w:val="21"/>
    </w:rPr>
  </w:style>
  <w:style w:type="paragraph" w:customStyle="1" w:styleId="168">
    <w:name w:val="Style Heading 3h3Heading 3 - oldLevel 3 HeadH3level_3PIM 3se..."/>
    <w:basedOn w:val="6"/>
    <w:qFormat/>
    <w:uiPriority w:val="0"/>
    <w:pPr>
      <w:tabs>
        <w:tab w:val="left" w:pos="709"/>
        <w:tab w:val="left" w:pos="1620"/>
      </w:tabs>
      <w:ind w:left="1620" w:hanging="360"/>
    </w:pPr>
  </w:style>
  <w:style w:type="paragraph" w:customStyle="1" w:styleId="169">
    <w:name w:val="内容标题"/>
    <w:basedOn w:val="19"/>
    <w:qFormat/>
    <w:uiPriority w:val="0"/>
    <w:rPr>
      <w:rFonts w:ascii="Tahoma" w:hAnsi="Tahoma"/>
      <w:sz w:val="24"/>
    </w:rPr>
  </w:style>
  <w:style w:type="paragraph" w:customStyle="1" w:styleId="170">
    <w:name w:val="标书正文:  0.74 厘米"/>
    <w:basedOn w:val="1"/>
    <w:qFormat/>
    <w:uiPriority w:val="0"/>
    <w:pPr>
      <w:snapToGrid w:val="0"/>
      <w:spacing w:line="360" w:lineRule="auto"/>
      <w:ind w:firstLine="420"/>
    </w:pPr>
    <w:rPr>
      <w:sz w:val="24"/>
    </w:rPr>
  </w:style>
  <w:style w:type="paragraph" w:customStyle="1" w:styleId="17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2">
    <w:name w:val="首行缩进"/>
    <w:basedOn w:val="1"/>
    <w:qFormat/>
    <w:uiPriority w:val="0"/>
    <w:pPr>
      <w:tabs>
        <w:tab w:val="left" w:pos="540"/>
      </w:tabs>
      <w:spacing w:line="360" w:lineRule="auto"/>
      <w:ind w:left="540"/>
    </w:pPr>
    <w:rPr>
      <w:rFonts w:eastAsia="仿宋_GB2312"/>
    </w:rPr>
  </w:style>
  <w:style w:type="paragraph" w:customStyle="1" w:styleId="173">
    <w:name w:val="样式4"/>
    <w:basedOn w:val="7"/>
    <w:qFormat/>
    <w:uiPriority w:val="0"/>
    <w:pPr>
      <w:adjustRightInd w:val="0"/>
      <w:snapToGrid w:val="0"/>
    </w:pPr>
    <w:rPr>
      <w:rFonts w:ascii="Times New Roman" w:hAnsi="Times New Roman" w:eastAsia="宋体"/>
    </w:rPr>
  </w:style>
  <w:style w:type="paragraph" w:customStyle="1" w:styleId="174">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75">
    <w:name w:val="样式2"/>
    <w:basedOn w:val="7"/>
    <w:qFormat/>
    <w:uiPriority w:val="0"/>
    <w:pPr>
      <w:tabs>
        <w:tab w:val="left" w:pos="720"/>
      </w:tabs>
      <w:spacing w:before="560" w:line="400" w:lineRule="exact"/>
      <w:ind w:left="420" w:hanging="420"/>
      <w:jc w:val="center"/>
      <w:outlineLvl w:val="0"/>
    </w:pPr>
    <w:rPr>
      <w:rFonts w:ascii="Times New Roman" w:hAnsi="Times New Roman" w:eastAsia="宋体"/>
      <w:b w:val="0"/>
      <w:sz w:val="44"/>
    </w:rPr>
  </w:style>
  <w:style w:type="paragraph" w:customStyle="1" w:styleId="176">
    <w:name w:val="样式 首行缩进:  0.74 厘米"/>
    <w:basedOn w:val="1"/>
    <w:qFormat/>
    <w:uiPriority w:val="0"/>
    <w:pPr>
      <w:spacing w:line="360" w:lineRule="auto"/>
      <w:ind w:firstLine="420"/>
    </w:pPr>
    <w:rPr>
      <w:sz w:val="24"/>
    </w:rPr>
  </w:style>
  <w:style w:type="paragraph" w:customStyle="1" w:styleId="17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0">
    <w:name w:val="标题3——2"/>
    <w:basedOn w:val="6"/>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1"/>
    <w:basedOn w:val="1"/>
    <w:next w:val="33"/>
    <w:link w:val="217"/>
    <w:qFormat/>
    <w:uiPriority w:val="0"/>
    <w:rPr>
      <w:rFonts w:ascii="宋体" w:hAnsi="Courier New"/>
      <w:sz w:val="21"/>
    </w:rPr>
  </w:style>
  <w:style w:type="paragraph" w:customStyle="1" w:styleId="18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3">
    <w:name w:val="修订1"/>
    <w:qFormat/>
    <w:uiPriority w:val="0"/>
    <w:rPr>
      <w:rFonts w:ascii="Times New Roman" w:hAnsi="Times New Roman" w:eastAsia="宋体" w:cs="Times New Roman"/>
      <w:kern w:val="2"/>
      <w:sz w:val="21"/>
      <w:lang w:val="en-US" w:eastAsia="zh-CN" w:bidi="ar-SA"/>
    </w:rPr>
  </w:style>
  <w:style w:type="paragraph" w:customStyle="1" w:styleId="184">
    <w:name w:val="文字"/>
    <w:basedOn w:val="1"/>
    <w:link w:val="249"/>
    <w:qFormat/>
    <w:uiPriority w:val="0"/>
    <w:pPr>
      <w:tabs>
        <w:tab w:val="left" w:pos="8520"/>
      </w:tabs>
      <w:spacing w:line="312" w:lineRule="auto"/>
      <w:ind w:right="-210" w:firstLine="556"/>
    </w:pPr>
    <w:rPr>
      <w:rFonts w:ascii="宋体"/>
    </w:rPr>
  </w:style>
  <w:style w:type="paragraph" w:customStyle="1" w:styleId="185">
    <w:name w:val="默认段落字体 Para Char Char Char Char Char Char Char"/>
    <w:basedOn w:val="1"/>
    <w:qFormat/>
    <w:uiPriority w:val="0"/>
    <w:rPr>
      <w:rFonts w:ascii="Tahoma" w:hAnsi="Tahoma"/>
      <w:sz w:val="24"/>
    </w:rPr>
  </w:style>
  <w:style w:type="paragraph" w:customStyle="1" w:styleId="18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88">
    <w:name w:val="可研正文"/>
    <w:basedOn w:val="2"/>
    <w:qFormat/>
    <w:uiPriority w:val="0"/>
    <w:pPr>
      <w:adjustRightInd w:val="0"/>
      <w:snapToGrid w:val="0"/>
      <w:spacing w:line="440" w:lineRule="exact"/>
      <w:ind w:firstLine="567"/>
    </w:pPr>
    <w:rPr>
      <w:rFonts w:ascii="Times New Roman" w:eastAsia="宋体"/>
      <w:sz w:val="28"/>
    </w:rPr>
  </w:style>
  <w:style w:type="paragraph" w:customStyle="1" w:styleId="189">
    <w:name w:val="Char2 Char Char Char Char Char Char"/>
    <w:basedOn w:val="1"/>
    <w:qFormat/>
    <w:uiPriority w:val="0"/>
    <w:rPr>
      <w:rFonts w:ascii="仿宋_GB2312"/>
      <w:b/>
      <w:sz w:val="30"/>
    </w:rPr>
  </w:style>
  <w:style w:type="paragraph" w:customStyle="1" w:styleId="190">
    <w:name w:val="标题2"/>
    <w:basedOn w:val="5"/>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2">
    <w:name w:val="小标题 1"/>
    <w:basedOn w:val="1"/>
    <w:qFormat/>
    <w:uiPriority w:val="0"/>
    <w:pPr>
      <w:autoSpaceDE w:val="0"/>
      <w:autoSpaceDN w:val="0"/>
      <w:adjustRightInd w:val="0"/>
      <w:spacing w:line="360" w:lineRule="atLeast"/>
    </w:pPr>
    <w:rPr>
      <w:rFonts w:ascii="文鼎晶栩粗黑" w:eastAsia="文鼎晶栩粗黑"/>
      <w:kern w:val="0"/>
      <w:sz w:val="22"/>
    </w:rPr>
  </w:style>
  <w:style w:type="paragraph" w:customStyle="1" w:styleId="193">
    <w:name w:val="样式1xz"/>
    <w:basedOn w:val="1"/>
    <w:qFormat/>
    <w:uiPriority w:val="0"/>
    <w:pPr>
      <w:tabs>
        <w:tab w:val="left" w:pos="1050"/>
        <w:tab w:val="right" w:leader="dot" w:pos="8296"/>
      </w:tabs>
    </w:pPr>
    <w:rPr>
      <w:caps/>
      <w:spacing w:val="20"/>
      <w:sz w:val="24"/>
    </w:rPr>
  </w:style>
  <w:style w:type="paragraph" w:customStyle="1" w:styleId="194">
    <w:name w:val="二级条标题"/>
    <w:basedOn w:val="150"/>
    <w:next w:val="128"/>
    <w:qFormat/>
    <w:uiPriority w:val="0"/>
    <w:pPr>
      <w:ind w:left="840"/>
      <w:outlineLvl w:val="3"/>
    </w:p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96">
    <w:name w:val="编号正文"/>
    <w:basedOn w:val="85"/>
    <w:qFormat/>
    <w:uiPriority w:val="0"/>
    <w:pPr>
      <w:snapToGrid/>
      <w:spacing w:line="360" w:lineRule="auto"/>
      <w:ind w:left="1407" w:hanging="1047"/>
      <w:jc w:val="left"/>
    </w:pPr>
    <w:rPr>
      <w:rFonts w:ascii="Times New Roman" w:hAnsi="Times New Roman" w:eastAsia="仿宋_GB2312"/>
    </w:rPr>
  </w:style>
  <w:style w:type="paragraph" w:customStyle="1" w:styleId="197">
    <w:name w:val="标准正文"/>
    <w:basedOn w:val="26"/>
    <w:qFormat/>
    <w:uiPriority w:val="0"/>
    <w:pPr>
      <w:spacing w:before="60" w:after="60" w:line="360" w:lineRule="auto"/>
      <w:ind w:left="0" w:firstLine="482"/>
    </w:pPr>
    <w:rPr>
      <w:rFonts w:ascii="Arial" w:hAnsi="Arial"/>
      <w:sz w:val="24"/>
    </w:rPr>
  </w:style>
  <w:style w:type="paragraph" w:customStyle="1" w:styleId="19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9">
    <w:name w:val="表头样式"/>
    <w:basedOn w:val="1"/>
    <w:qFormat/>
    <w:uiPriority w:val="0"/>
    <w:pPr>
      <w:autoSpaceDE w:val="0"/>
      <w:autoSpaceDN w:val="0"/>
      <w:adjustRightInd w:val="0"/>
      <w:spacing w:line="360" w:lineRule="auto"/>
      <w:jc w:val="left"/>
    </w:pPr>
    <w:rPr>
      <w:b/>
      <w:kern w:val="0"/>
      <w:sz w:val="21"/>
    </w:rPr>
  </w:style>
  <w:style w:type="paragraph" w:customStyle="1" w:styleId="20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1">
    <w:name w:val="IN Feature"/>
    <w:next w:val="11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3">
    <w:name w:val="Char2"/>
    <w:basedOn w:val="1"/>
    <w:qFormat/>
    <w:uiPriority w:val="0"/>
    <w:pPr>
      <w:spacing w:line="240" w:lineRule="atLeast"/>
      <w:ind w:left="420" w:firstLine="420"/>
    </w:pPr>
    <w:rPr>
      <w:kern w:val="0"/>
      <w:sz w:val="21"/>
    </w:rPr>
  </w:style>
  <w:style w:type="paragraph" w:customStyle="1" w:styleId="204">
    <w:name w:val="摘要"/>
    <w:basedOn w:val="1"/>
    <w:next w:val="5"/>
    <w:qFormat/>
    <w:uiPriority w:val="0"/>
    <w:pPr>
      <w:spacing w:line="360" w:lineRule="auto"/>
    </w:pPr>
    <w:rPr>
      <w:rFonts w:eastAsia="黑体"/>
      <w:sz w:val="20"/>
    </w:rPr>
  </w:style>
  <w:style w:type="paragraph" w:customStyle="1" w:styleId="20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6">
    <w:name w:val="文本1"/>
    <w:basedOn w:val="1"/>
    <w:qFormat/>
    <w:uiPriority w:val="0"/>
    <w:pPr>
      <w:adjustRightInd w:val="0"/>
      <w:spacing w:line="312" w:lineRule="atLeast"/>
      <w:jc w:val="center"/>
      <w:textAlignment w:val="baseline"/>
    </w:pPr>
    <w:rPr>
      <w:kern w:val="0"/>
      <w:sz w:val="18"/>
    </w:rPr>
  </w:style>
  <w:style w:type="paragraph" w:customStyle="1" w:styleId="207">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08">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09">
    <w:name w:val="Title - Date"/>
    <w:basedOn w:val="57"/>
    <w:next w:val="1"/>
    <w:qFormat/>
    <w:uiPriority w:val="0"/>
    <w:pPr>
      <w:spacing w:before="240" w:after="720"/>
    </w:pPr>
    <w:rPr>
      <w:rFonts w:ascii="Times New Roman" w:hAnsi="Times New Roman"/>
      <w:sz w:val="28"/>
    </w:rPr>
  </w:style>
  <w:style w:type="paragraph" w:customStyle="1" w:styleId="210">
    <w:name w:val="正文1"/>
    <w:basedOn w:val="1"/>
    <w:qFormat/>
    <w:uiPriority w:val="0"/>
    <w:pPr>
      <w:spacing w:line="300" w:lineRule="auto"/>
      <w:ind w:firstLine="200" w:firstLineChars="200"/>
    </w:pPr>
    <w:rPr>
      <w:sz w:val="24"/>
    </w:rPr>
  </w:style>
  <w:style w:type="paragraph" w:customStyle="1" w:styleId="211">
    <w:name w:val="列出段落3"/>
    <w:basedOn w:val="1"/>
    <w:qFormat/>
    <w:uiPriority w:val="0"/>
    <w:pPr>
      <w:widowControl/>
      <w:ind w:firstLine="420" w:firstLineChars="200"/>
      <w:jc w:val="left"/>
    </w:pPr>
    <w:rPr>
      <w:rFonts w:ascii="宋体" w:hAnsi="宋体" w:cs="宋体"/>
      <w:kern w:val="0"/>
      <w:sz w:val="24"/>
      <w:szCs w:val="24"/>
    </w:rPr>
  </w:style>
  <w:style w:type="paragraph" w:customStyle="1" w:styleId="212">
    <w:name w:val="文档正文 Char Char Char Char"/>
    <w:basedOn w:val="1"/>
    <w:qFormat/>
    <w:uiPriority w:val="0"/>
    <w:pPr>
      <w:adjustRightInd w:val="0"/>
      <w:spacing w:line="440" w:lineRule="exact"/>
      <w:ind w:firstLine="420"/>
      <w:textAlignment w:val="baseline"/>
    </w:pPr>
    <w:rPr>
      <w:rFonts w:ascii="Arial Black" w:hAnsi="Arial Black"/>
      <w:kern w:val="0"/>
      <w:sz w:val="24"/>
    </w:rPr>
  </w:style>
  <w:style w:type="paragraph" w:customStyle="1" w:styleId="21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4">
    <w:name w:val="正文文本 21"/>
    <w:basedOn w:val="1"/>
    <w:qFormat/>
    <w:uiPriority w:val="0"/>
    <w:pPr>
      <w:adjustRightInd w:val="0"/>
      <w:spacing w:before="120" w:line="360" w:lineRule="auto"/>
      <w:ind w:firstLine="480"/>
      <w:textAlignment w:val="baseline"/>
    </w:pPr>
    <w:rPr>
      <w:sz w:val="24"/>
    </w:rPr>
  </w:style>
  <w:style w:type="character" w:customStyle="1" w:styleId="215">
    <w:name w:val="未命名11"/>
    <w:qFormat/>
    <w:uiPriority w:val="0"/>
    <w:rPr>
      <w:rFonts w:ascii="Times New Roman" w:hAnsi="Times New Roman" w:eastAsia="宋体" w:cs="Times New Roman"/>
      <w:color w:val="77FFFF"/>
      <w:sz w:val="24"/>
    </w:rPr>
  </w:style>
  <w:style w:type="character" w:customStyle="1" w:styleId="216">
    <w:name w:val="小 Char"/>
    <w:qFormat/>
    <w:uiPriority w:val="0"/>
    <w:rPr>
      <w:rFonts w:ascii="宋体" w:hAnsi="Courier New" w:eastAsia="宋体" w:cs="Times New Roman"/>
      <w:kern w:val="2"/>
      <w:sz w:val="21"/>
      <w:lang w:val="en-US" w:eastAsia="zh-CN" w:bidi="ar-SA"/>
    </w:rPr>
  </w:style>
  <w:style w:type="character" w:customStyle="1" w:styleId="217">
    <w:name w:val="1[858D7CFB-ED40-4347-BF05-701D383B685F]"/>
    <w:link w:val="181"/>
    <w:qFormat/>
    <w:uiPriority w:val="0"/>
    <w:rPr>
      <w:rFonts w:ascii="宋体" w:hAnsi="Courier New" w:eastAsia="宋体" w:cs="Times New Roman"/>
      <w:kern w:val="2"/>
      <w:sz w:val="21"/>
    </w:rPr>
  </w:style>
  <w:style w:type="character" w:customStyle="1" w:styleId="218">
    <w:name w:val="正文文本缩进 字符"/>
    <w:link w:val="26"/>
    <w:qFormat/>
    <w:uiPriority w:val="0"/>
    <w:rPr>
      <w:rFonts w:ascii="Times New Roman" w:hAnsi="Times New Roman" w:eastAsia="宋体" w:cs="Times New Roman"/>
      <w:kern w:val="2"/>
      <w:sz w:val="44"/>
    </w:rPr>
  </w:style>
  <w:style w:type="character" w:customStyle="1" w:styleId="219">
    <w:name w:val="v151"/>
    <w:qFormat/>
    <w:uiPriority w:val="0"/>
    <w:rPr>
      <w:rFonts w:ascii="Times New Roman" w:hAnsi="Times New Roman" w:eastAsia="宋体" w:cs="Times New Roman"/>
      <w:sz w:val="18"/>
    </w:rPr>
  </w:style>
  <w:style w:type="character" w:customStyle="1" w:styleId="220">
    <w:name w:val="Char Char5"/>
    <w:qFormat/>
    <w:uiPriority w:val="0"/>
    <w:rPr>
      <w:rFonts w:ascii="Arial" w:hAnsi="Arial" w:eastAsia="宋体" w:cs="Times New Roman"/>
      <w:b/>
      <w:smallCaps/>
      <w:kern w:val="28"/>
      <w:sz w:val="36"/>
      <w:lang w:val="en-US" w:eastAsia="en-US"/>
    </w:rPr>
  </w:style>
  <w:style w:type="character" w:customStyle="1" w:styleId="221">
    <w:name w:val="Char Char4"/>
    <w:qFormat/>
    <w:uiPriority w:val="0"/>
    <w:rPr>
      <w:rFonts w:ascii="Times New Roman" w:hAnsi="Times New Roman" w:eastAsia="宋体" w:cs="Times New Roman"/>
      <w:b/>
      <w:kern w:val="2"/>
      <w:sz w:val="21"/>
      <w:lang w:val="en-US" w:eastAsia="zh-CN"/>
    </w:rPr>
  </w:style>
  <w:style w:type="character" w:customStyle="1" w:styleId="222">
    <w:name w:val="副标题 Char1"/>
    <w:qFormat/>
    <w:uiPriority w:val="0"/>
    <w:rPr>
      <w:rFonts w:ascii="Calibri Light" w:hAnsi="Calibri Light" w:eastAsia="宋体" w:cs="Times New Roman"/>
      <w:b/>
      <w:bCs/>
      <w:kern w:val="28"/>
      <w:sz w:val="32"/>
      <w:szCs w:val="32"/>
    </w:rPr>
  </w:style>
  <w:style w:type="character" w:customStyle="1" w:styleId="223">
    <w:name w:val="Char Char6"/>
    <w:qFormat/>
    <w:uiPriority w:val="0"/>
    <w:rPr>
      <w:rFonts w:ascii="仿宋_GB2312" w:hAnsi="Times New Roman" w:eastAsia="仿宋_GB2312" w:cs="Times New Roman"/>
      <w:kern w:val="2"/>
      <w:sz w:val="32"/>
    </w:rPr>
  </w:style>
  <w:style w:type="character" w:customStyle="1" w:styleId="224">
    <w:name w:val="标题 3 字符"/>
    <w:link w:val="6"/>
    <w:qFormat/>
    <w:uiPriority w:val="0"/>
    <w:rPr>
      <w:rFonts w:ascii="Times New Roman" w:hAnsi="Times New Roman" w:eastAsia="宋体" w:cs="Times New Roman"/>
      <w:b/>
      <w:kern w:val="2"/>
      <w:sz w:val="32"/>
      <w:lang w:val="en-US" w:eastAsia="zh-CN"/>
    </w:rPr>
  </w:style>
  <w:style w:type="character" w:customStyle="1" w:styleId="225">
    <w:name w:val="批注主题 字符"/>
    <w:link w:val="58"/>
    <w:qFormat/>
    <w:uiPriority w:val="0"/>
    <w:rPr>
      <w:rFonts w:ascii="Times New Roman" w:hAnsi="Times New Roman" w:eastAsia="宋体" w:cs="Times New Roman"/>
      <w:sz w:val="24"/>
    </w:rPr>
  </w:style>
  <w:style w:type="character" w:customStyle="1" w:styleId="226">
    <w:name w:val="标题 2 字符"/>
    <w:link w:val="5"/>
    <w:qFormat/>
    <w:uiPriority w:val="0"/>
    <w:rPr>
      <w:rFonts w:ascii="Arial" w:hAnsi="Arial" w:eastAsia="黑体" w:cs="Times New Roman"/>
      <w:b/>
      <w:kern w:val="2"/>
      <w:sz w:val="32"/>
    </w:rPr>
  </w:style>
  <w:style w:type="character" w:customStyle="1" w:styleId="227">
    <w:name w:val="正文文本缩进 2 字符"/>
    <w:link w:val="36"/>
    <w:qFormat/>
    <w:uiPriority w:val="0"/>
    <w:rPr>
      <w:rFonts w:ascii="Times New Roman" w:hAnsi="Times New Roman" w:eastAsia="宋体" w:cs="Times New Roman"/>
      <w:kern w:val="2"/>
      <w:sz w:val="28"/>
    </w:rPr>
  </w:style>
  <w:style w:type="character" w:customStyle="1" w:styleId="228">
    <w:name w:val="title_emph1"/>
    <w:qFormat/>
    <w:uiPriority w:val="0"/>
    <w:rPr>
      <w:rFonts w:hint="default" w:ascii="Arial" w:hAnsi="Arial" w:eastAsia="宋体" w:cs="Times New Roman"/>
      <w:b/>
      <w:sz w:val="20"/>
    </w:rPr>
  </w:style>
  <w:style w:type="character" w:customStyle="1" w:styleId="229">
    <w:name w:val="Table Text Char1 Char"/>
    <w:qFormat/>
    <w:uiPriority w:val="0"/>
    <w:rPr>
      <w:rFonts w:ascii="Arial" w:hAnsi="Arial" w:eastAsia="宋体" w:cs="Times New Roman"/>
      <w:kern w:val="2"/>
      <w:sz w:val="18"/>
      <w:lang w:val="en-US" w:eastAsia="zh-CN" w:bidi="ar-SA"/>
    </w:rPr>
  </w:style>
  <w:style w:type="character" w:customStyle="1" w:styleId="230">
    <w:name w:val="副标题 字符"/>
    <w:link w:val="43"/>
    <w:qFormat/>
    <w:uiPriority w:val="0"/>
    <w:rPr>
      <w:rFonts w:ascii="Cambria" w:hAnsi="Cambria" w:eastAsia="宋体" w:cs="Times New Roman"/>
      <w:b/>
      <w:bCs/>
      <w:kern w:val="28"/>
      <w:sz w:val="32"/>
      <w:szCs w:val="32"/>
    </w:rPr>
  </w:style>
  <w:style w:type="character" w:customStyle="1" w:styleId="231">
    <w:name w:val="页脚 字符"/>
    <w:link w:val="38"/>
    <w:qFormat/>
    <w:uiPriority w:val="0"/>
    <w:rPr>
      <w:rFonts w:ascii="Times New Roman" w:hAnsi="Times New Roman" w:eastAsia="宋体" w:cs="Times New Roman"/>
      <w:kern w:val="2"/>
      <w:sz w:val="18"/>
    </w:rPr>
  </w:style>
  <w:style w:type="character" w:customStyle="1" w:styleId="232">
    <w:name w:val="crowed11"/>
    <w:qFormat/>
    <w:uiPriority w:val="0"/>
    <w:rPr>
      <w:rFonts w:hint="default" w:ascii="Times New Roman" w:hAnsi="Times New Roman" w:eastAsia="宋体" w:cs="Times New Roman"/>
      <w:sz w:val="24"/>
    </w:rPr>
  </w:style>
  <w:style w:type="character" w:customStyle="1" w:styleId="233">
    <w:name w:val="样式 宋体"/>
    <w:qFormat/>
    <w:uiPriority w:val="0"/>
    <w:rPr>
      <w:rFonts w:ascii="宋体" w:hAnsi="宋体" w:eastAsia="宋体" w:cs="Times New Roman"/>
      <w:sz w:val="28"/>
    </w:rPr>
  </w:style>
  <w:style w:type="character" w:customStyle="1" w:styleId="234">
    <w:name w:val="标书正文:  0.74 厘米 Char1"/>
    <w:qFormat/>
    <w:uiPriority w:val="0"/>
    <w:rPr>
      <w:rFonts w:ascii="Times New Roman" w:hAnsi="Times New Roman" w:eastAsia="宋体" w:cs="Times New Roman"/>
      <w:kern w:val="2"/>
      <w:sz w:val="24"/>
      <w:lang w:val="en-US" w:eastAsia="zh-CN"/>
    </w:rPr>
  </w:style>
  <w:style w:type="character" w:customStyle="1" w:styleId="235">
    <w:name w:val="font41"/>
    <w:qFormat/>
    <w:uiPriority w:val="0"/>
    <w:rPr>
      <w:rFonts w:hint="eastAsia" w:ascii="宋体" w:hAnsi="宋体" w:eastAsia="宋体" w:cs="宋体"/>
      <w:color w:val="000000"/>
      <w:sz w:val="20"/>
      <w:szCs w:val="20"/>
      <w:u w:val="none"/>
      <w:vertAlign w:val="subscript"/>
    </w:rPr>
  </w:style>
  <w:style w:type="character" w:customStyle="1" w:styleId="236">
    <w:name w:val="top-det1"/>
    <w:qFormat/>
    <w:uiPriority w:val="0"/>
    <w:rPr>
      <w:rFonts w:ascii="Times New Roman" w:hAnsi="Times New Roman" w:eastAsia="宋体" w:cs="Times New Roman"/>
      <w:b/>
      <w:color w:val="000000"/>
    </w:rPr>
  </w:style>
  <w:style w:type="character" w:customStyle="1" w:styleId="237">
    <w:name w:val="Char Char"/>
    <w:qFormat/>
    <w:uiPriority w:val="0"/>
    <w:rPr>
      <w:rFonts w:ascii="宋体" w:hAnsi="宋体" w:eastAsia="宋体" w:cs="Times New Roman"/>
      <w:kern w:val="2"/>
      <w:sz w:val="24"/>
      <w:lang w:val="en-US" w:eastAsia="zh-CN" w:bidi="ar-SA"/>
    </w:rPr>
  </w:style>
  <w:style w:type="character" w:customStyle="1" w:styleId="238">
    <w:name w:val="Table Text Char"/>
    <w:link w:val="138"/>
    <w:qFormat/>
    <w:uiPriority w:val="0"/>
    <w:rPr>
      <w:rFonts w:ascii="Arial" w:hAnsi="Arial"/>
      <w:kern w:val="2"/>
      <w:sz w:val="18"/>
      <w:lang w:val="en-US" w:eastAsia="zh-CN" w:bidi="ar-SA"/>
    </w:rPr>
  </w:style>
  <w:style w:type="character" w:customStyle="1" w:styleId="239">
    <w:name w:val="批注文字 字符"/>
    <w:link w:val="21"/>
    <w:qFormat/>
    <w:uiPriority w:val="0"/>
    <w:rPr>
      <w:rFonts w:ascii="Times New Roman" w:hAnsi="Times New Roman" w:eastAsia="宋体" w:cs="Times New Roman"/>
      <w:sz w:val="24"/>
    </w:rPr>
  </w:style>
  <w:style w:type="character" w:customStyle="1" w:styleId="240">
    <w:name w:val="日期 字符"/>
    <w:link w:val="35"/>
    <w:qFormat/>
    <w:uiPriority w:val="0"/>
    <w:rPr>
      <w:rFonts w:ascii="Times New Roman" w:hAnsi="Times New Roman" w:eastAsia="宋体" w:cs="Times New Roman"/>
      <w:kern w:val="2"/>
      <w:sz w:val="28"/>
    </w:rPr>
  </w:style>
  <w:style w:type="character" w:customStyle="1" w:styleId="241">
    <w:name w:val="Char Char2"/>
    <w:qFormat/>
    <w:uiPriority w:val="0"/>
    <w:rPr>
      <w:rFonts w:ascii="Times New Roman" w:hAnsi="Times New Roman" w:eastAsia="宋体" w:cs="Times New Roman"/>
      <w:kern w:val="2"/>
      <w:sz w:val="18"/>
      <w:lang w:val="en-US" w:eastAsia="zh-CN"/>
    </w:rPr>
  </w:style>
  <w:style w:type="character" w:customStyle="1" w:styleId="242">
    <w:name w:val="content-white1"/>
    <w:qFormat/>
    <w:uiPriority w:val="0"/>
    <w:rPr>
      <w:rFonts w:ascii="Times New Roman" w:hAnsi="Times New Roman" w:eastAsia="宋体" w:cs="Times New Roman"/>
      <w:color w:val="auto"/>
      <w:sz w:val="18"/>
      <w:u w:val="none"/>
    </w:rPr>
  </w:style>
  <w:style w:type="character" w:customStyle="1" w:styleId="243">
    <w:name w:val="Char Char7"/>
    <w:qFormat/>
    <w:uiPriority w:val="0"/>
    <w:rPr>
      <w:rFonts w:ascii="宋体" w:hAnsi="宋体" w:eastAsia="宋体" w:cs="Times New Roman"/>
      <w:kern w:val="2"/>
      <w:sz w:val="28"/>
    </w:rPr>
  </w:style>
  <w:style w:type="character" w:customStyle="1" w:styleId="244">
    <w:name w:val="Char Char11"/>
    <w:qFormat/>
    <w:uiPriority w:val="0"/>
    <w:rPr>
      <w:rFonts w:ascii="宋体" w:hAnsi="Times New Roman" w:eastAsia="宋体" w:cs="Times New Roman"/>
      <w:kern w:val="2"/>
      <w:sz w:val="28"/>
    </w:rPr>
  </w:style>
  <w:style w:type="character" w:customStyle="1" w:styleId="245">
    <w:name w:val="H2 Char"/>
    <w:qFormat/>
    <w:uiPriority w:val="0"/>
    <w:rPr>
      <w:rFonts w:ascii="Arial" w:hAnsi="Arial" w:eastAsia="宋体" w:cs="Times New Roman"/>
      <w:kern w:val="2"/>
      <w:sz w:val="28"/>
      <w:lang w:val="en-US" w:eastAsia="zh-CN"/>
    </w:rPr>
  </w:style>
  <w:style w:type="character" w:customStyle="1" w:styleId="246">
    <w:name w:val="Table Text Char Char Char Char"/>
    <w:link w:val="142"/>
    <w:qFormat/>
    <w:uiPriority w:val="0"/>
    <w:rPr>
      <w:rFonts w:ascii="Arial" w:hAnsi="Arial"/>
      <w:kern w:val="2"/>
      <w:sz w:val="18"/>
      <w:lang w:val="en-US" w:eastAsia="zh-CN" w:bidi="ar-SA"/>
    </w:rPr>
  </w:style>
  <w:style w:type="character" w:customStyle="1" w:styleId="247">
    <w:name w:val="脚注文本 字符"/>
    <w:link w:val="44"/>
    <w:qFormat/>
    <w:uiPriority w:val="0"/>
    <w:rPr>
      <w:rFonts w:ascii="Times New Roman" w:hAnsi="Times New Roman" w:eastAsia="宋体" w:cs="Times New Roman"/>
      <w:kern w:val="2"/>
      <w:sz w:val="18"/>
    </w:rPr>
  </w:style>
  <w:style w:type="character" w:customStyle="1" w:styleId="248">
    <w:name w:val="font1"/>
    <w:qFormat/>
    <w:uiPriority w:val="0"/>
    <w:rPr>
      <w:rFonts w:ascii="Times New Roman" w:hAnsi="Times New Roman" w:eastAsia="宋体" w:cs="Times New Roman"/>
      <w:color w:val="000000"/>
      <w:sz w:val="18"/>
    </w:rPr>
  </w:style>
  <w:style w:type="character" w:customStyle="1" w:styleId="249">
    <w:name w:val="文字 Char"/>
    <w:link w:val="184"/>
    <w:qFormat/>
    <w:uiPriority w:val="0"/>
    <w:rPr>
      <w:rFonts w:ascii="宋体" w:hAnsi="Times New Roman" w:eastAsia="宋体" w:cs="Times New Roman"/>
      <w:kern w:val="2"/>
      <w:sz w:val="28"/>
    </w:rPr>
  </w:style>
  <w:style w:type="character" w:customStyle="1" w:styleId="250">
    <w:name w:val="页眉 字符"/>
    <w:link w:val="39"/>
    <w:qFormat/>
    <w:uiPriority w:val="0"/>
    <w:rPr>
      <w:rFonts w:ascii="Times New Roman" w:hAnsi="Times New Roman" w:eastAsia="宋体" w:cs="Times New Roman"/>
      <w:kern w:val="2"/>
      <w:sz w:val="18"/>
    </w:rPr>
  </w:style>
  <w:style w:type="character" w:customStyle="1" w:styleId="251">
    <w:name w:val="正文文本首行缩进 2 字符"/>
    <w:link w:val="60"/>
    <w:qFormat/>
    <w:uiPriority w:val="0"/>
    <w:rPr>
      <w:rFonts w:ascii="Times New Roman" w:hAnsi="Times New Roman" w:eastAsia="宋体" w:cs="Times New Roman"/>
      <w:kern w:val="2"/>
      <w:sz w:val="44"/>
    </w:rPr>
  </w:style>
  <w:style w:type="character" w:customStyle="1" w:styleId="252">
    <w:name w:val="Char Char3"/>
    <w:qFormat/>
    <w:uiPriority w:val="0"/>
    <w:rPr>
      <w:rFonts w:ascii="Times New Roman" w:hAnsi="Times New Roman" w:eastAsia="宋体" w:cs="Times New Roman"/>
      <w:kern w:val="2"/>
      <w:sz w:val="18"/>
      <w:lang w:val="en-US" w:eastAsia="zh-CN"/>
    </w:rPr>
  </w:style>
  <w:style w:type="character" w:customStyle="1" w:styleId="253">
    <w:name w:val="正文 + 三号 Char"/>
    <w:qFormat/>
    <w:uiPriority w:val="0"/>
    <w:rPr>
      <w:rFonts w:ascii="Times New Roman" w:hAnsi="Times New Roman" w:eastAsia="宋体" w:cs="Times New Roman"/>
      <w:kern w:val="2"/>
      <w:sz w:val="21"/>
      <w:lang w:val="en-US" w:eastAsia="zh-CN"/>
    </w:rPr>
  </w:style>
  <w:style w:type="character" w:customStyle="1" w:styleId="254">
    <w:name w:val="Table Heading Char Char"/>
    <w:qFormat/>
    <w:uiPriority w:val="0"/>
    <w:rPr>
      <w:rFonts w:ascii="Arial" w:hAnsi="Arial" w:eastAsia="黑体" w:cs="Times New Roman"/>
      <w:kern w:val="2"/>
      <w:sz w:val="18"/>
      <w:lang w:val="en-US" w:eastAsia="zh-CN"/>
    </w:rPr>
  </w:style>
  <w:style w:type="character" w:customStyle="1" w:styleId="255">
    <w:name w:val="正文缩进 字符"/>
    <w:link w:val="17"/>
    <w:qFormat/>
    <w:uiPriority w:val="0"/>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13809</Words>
  <Characters>14531</Characters>
  <Lines>128</Lines>
  <Paragraphs>36</Paragraphs>
  <TotalTime>7</TotalTime>
  <ScaleCrop>false</ScaleCrop>
  <LinksUpToDate>false</LinksUpToDate>
  <CharactersWithSpaces>16957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2020-10-12T02:21:00Z</dcterms:created>
  <dc:creator>LENOVO</dc:creator>
  <cp:lastModifiedBy>mys</cp:lastModifiedBy>
  <cp:lastPrinted>2020-10-30T02:52:00Z</cp:lastPrinted>
  <dcterms:modified xsi:type="dcterms:W3CDTF">2022-09-27T06:10:05Z</dcterms:modified>
  <dc:title>竞争性谈判文件</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SaveFontToCloudKey">
    <vt:lpwstr>1143587521_cloud</vt:lpwstr>
  </property>
  <property fmtid="{D5CDD505-2E9C-101B-9397-08002B2CF9AE}" pid="4" name="ICV">
    <vt:lpwstr>E92ADF93656F4E00B7AD6F46A07600F0</vt:lpwstr>
  </property>
</Properties>
</file>